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北京师范大学南湖附属学校</w:t>
      </w:r>
    </w:p>
    <w:p>
      <w:pPr>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2020年公开招聘教师公告(二)</w:t>
      </w:r>
    </w:p>
    <w:p>
      <w:pPr>
        <w:spacing w:line="560" w:lineRule="exact"/>
        <w:ind w:firstLine="640" w:firstLineChars="200"/>
        <w:rPr>
          <w:rFonts w:hint="eastAsia" w:ascii="仿宋_GB2312" w:eastAsia="仿宋_GB2312" w:cs="仿宋_GB2312"/>
          <w:color w:val="auto"/>
          <w:sz w:val="32"/>
          <w:szCs w:val="32"/>
          <w:highlight w:val="none"/>
        </w:rPr>
      </w:pP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北京师范大学南湖附属学校创办于</w:t>
      </w:r>
      <w:r>
        <w:rPr>
          <w:rFonts w:ascii="仿宋_GB2312" w:eastAsia="仿宋_GB2312" w:cs="仿宋_GB2312"/>
          <w:color w:val="auto"/>
          <w:sz w:val="32"/>
          <w:szCs w:val="32"/>
          <w:highlight w:val="none"/>
        </w:rPr>
        <w:t>2008</w:t>
      </w:r>
      <w:r>
        <w:rPr>
          <w:rFonts w:hint="eastAsia" w:ascii="仿宋_GB2312" w:eastAsia="仿宋_GB2312" w:cs="仿宋_GB2312"/>
          <w:color w:val="auto"/>
          <w:sz w:val="32"/>
          <w:szCs w:val="32"/>
          <w:highlight w:val="none"/>
        </w:rPr>
        <w:t>年</w:t>
      </w:r>
      <w:r>
        <w:rPr>
          <w:rFonts w:ascii="仿宋_GB2312" w:eastAsia="仿宋_GB2312" w:cs="仿宋_GB2312"/>
          <w:color w:val="auto"/>
          <w:sz w:val="32"/>
          <w:szCs w:val="32"/>
          <w:highlight w:val="none"/>
        </w:rPr>
        <w:t>8</w:t>
      </w:r>
      <w:r>
        <w:rPr>
          <w:rFonts w:hint="eastAsia" w:ascii="仿宋_GB2312" w:eastAsia="仿宋_GB2312" w:cs="仿宋_GB2312"/>
          <w:color w:val="auto"/>
          <w:sz w:val="32"/>
          <w:szCs w:val="32"/>
          <w:highlight w:val="none"/>
        </w:rPr>
        <w:t>月，是由北京师范大学与嘉兴市南湖区人民政府合作举办的一所九年一贯制</w:t>
      </w:r>
      <w:r>
        <w:rPr>
          <w:rFonts w:hint="eastAsia" w:ascii="仿宋_GB2312" w:eastAsia="仿宋_GB2312" w:cs="仿宋_GB2312"/>
          <w:color w:val="auto"/>
          <w:sz w:val="32"/>
          <w:szCs w:val="32"/>
          <w:highlight w:val="none"/>
          <w:u w:val="single"/>
        </w:rPr>
        <w:t>公立</w:t>
      </w:r>
      <w:r>
        <w:rPr>
          <w:rFonts w:hint="eastAsia" w:ascii="仿宋_GB2312" w:eastAsia="仿宋_GB2312" w:cs="仿宋_GB2312"/>
          <w:color w:val="auto"/>
          <w:sz w:val="32"/>
          <w:szCs w:val="32"/>
          <w:highlight w:val="none"/>
        </w:rPr>
        <w:t>学校。学校坐落在南湖新区内，一校两址，包括中港路校区和凌公塘路校区。凌公塘路校区北依凌公塘河，西临凌公塘主题文化公园，布局规致，古朴雅观，占地面积</w:t>
      </w:r>
      <w:r>
        <w:rPr>
          <w:rFonts w:ascii="仿宋_GB2312" w:eastAsia="仿宋_GB2312" w:cs="仿宋_GB2312"/>
          <w:color w:val="auto"/>
          <w:sz w:val="32"/>
          <w:szCs w:val="32"/>
          <w:highlight w:val="none"/>
        </w:rPr>
        <w:t>113270</w:t>
      </w:r>
      <w:r>
        <w:rPr>
          <w:rFonts w:hint="eastAsia" w:ascii="仿宋_GB2312" w:eastAsia="仿宋_GB2312" w:cs="仿宋_GB2312"/>
          <w:color w:val="auto"/>
          <w:sz w:val="32"/>
          <w:szCs w:val="32"/>
          <w:highlight w:val="none"/>
        </w:rPr>
        <w:t>平方米，建筑面积</w:t>
      </w:r>
      <w:r>
        <w:rPr>
          <w:rFonts w:ascii="仿宋_GB2312" w:eastAsia="仿宋_GB2312" w:cs="仿宋_GB2312"/>
          <w:color w:val="auto"/>
          <w:sz w:val="32"/>
          <w:szCs w:val="32"/>
          <w:highlight w:val="none"/>
        </w:rPr>
        <w:t>70918</w:t>
      </w:r>
      <w:r>
        <w:rPr>
          <w:rFonts w:hint="eastAsia" w:ascii="仿宋_GB2312" w:eastAsia="仿宋_GB2312" w:cs="仿宋_GB2312"/>
          <w:color w:val="auto"/>
          <w:sz w:val="32"/>
          <w:szCs w:val="32"/>
          <w:highlight w:val="none"/>
        </w:rPr>
        <w:t>平方米；中港路校区位于凌公塘校区东南角，殿堂高阔，拱廊横陈，占地面积</w:t>
      </w:r>
      <w:r>
        <w:rPr>
          <w:rFonts w:ascii="仿宋_GB2312" w:eastAsia="仿宋_GB2312" w:cs="仿宋_GB2312"/>
          <w:color w:val="auto"/>
          <w:sz w:val="32"/>
          <w:szCs w:val="32"/>
          <w:highlight w:val="none"/>
        </w:rPr>
        <w:t>49345.5</w:t>
      </w:r>
      <w:r>
        <w:rPr>
          <w:rFonts w:hint="eastAsia" w:ascii="仿宋_GB2312" w:eastAsia="仿宋_GB2312" w:cs="仿宋_GB2312"/>
          <w:color w:val="auto"/>
          <w:sz w:val="32"/>
          <w:szCs w:val="32"/>
          <w:highlight w:val="none"/>
        </w:rPr>
        <w:t>平方米，建筑面积</w:t>
      </w:r>
      <w:r>
        <w:rPr>
          <w:rFonts w:ascii="仿宋_GB2312" w:eastAsia="仿宋_GB2312" w:cs="仿宋_GB2312"/>
          <w:color w:val="auto"/>
          <w:sz w:val="32"/>
          <w:szCs w:val="32"/>
          <w:highlight w:val="none"/>
        </w:rPr>
        <w:t>42096.21</w:t>
      </w:r>
      <w:r>
        <w:rPr>
          <w:rFonts w:hint="eastAsia" w:ascii="仿宋_GB2312" w:eastAsia="仿宋_GB2312" w:cs="仿宋_GB2312"/>
          <w:color w:val="auto"/>
          <w:sz w:val="32"/>
          <w:szCs w:val="32"/>
          <w:highlight w:val="none"/>
        </w:rPr>
        <w:t>平方米。目前，学校九个年级共计</w:t>
      </w:r>
      <w:r>
        <w:rPr>
          <w:rFonts w:ascii="仿宋_GB2312" w:eastAsia="仿宋_GB2312" w:cs="仿宋_GB2312"/>
          <w:color w:val="auto"/>
          <w:sz w:val="32"/>
          <w:szCs w:val="32"/>
          <w:highlight w:val="none"/>
        </w:rPr>
        <w:t>132</w:t>
      </w:r>
      <w:r>
        <w:rPr>
          <w:rFonts w:hint="eastAsia" w:ascii="仿宋_GB2312" w:eastAsia="仿宋_GB2312" w:cs="仿宋_GB2312"/>
          <w:color w:val="auto"/>
          <w:sz w:val="32"/>
          <w:szCs w:val="32"/>
          <w:highlight w:val="none"/>
        </w:rPr>
        <w:t>个</w:t>
      </w:r>
      <w:r>
        <w:rPr>
          <w:rFonts w:hint="eastAsia" w:ascii="仿宋_GB2312" w:eastAsia="仿宋_GB2312" w:cs="仿宋_GB2312"/>
          <w:color w:val="auto"/>
          <w:sz w:val="32"/>
          <w:szCs w:val="32"/>
          <w:highlight w:val="none"/>
          <w:lang w:eastAsia="zh-CN"/>
        </w:rPr>
        <w:t>班级</w:t>
      </w:r>
      <w:r>
        <w:rPr>
          <w:rFonts w:hint="eastAsia" w:ascii="仿宋_GB2312" w:eastAsia="仿宋_GB2312" w:cs="仿宋_GB2312"/>
          <w:color w:val="auto"/>
          <w:sz w:val="32"/>
          <w:szCs w:val="32"/>
          <w:highlight w:val="none"/>
        </w:rPr>
        <w:t>，在校生</w:t>
      </w:r>
      <w:r>
        <w:rPr>
          <w:rFonts w:ascii="仿宋_GB2312" w:eastAsia="仿宋_GB2312" w:cs="仿宋_GB2312"/>
          <w:color w:val="auto"/>
          <w:sz w:val="32"/>
          <w:szCs w:val="32"/>
          <w:highlight w:val="none"/>
        </w:rPr>
        <w:t>5873</w:t>
      </w:r>
      <w:r>
        <w:rPr>
          <w:rFonts w:hint="eastAsia" w:ascii="仿宋_GB2312" w:eastAsia="仿宋_GB2312" w:cs="仿宋_GB2312"/>
          <w:color w:val="auto"/>
          <w:sz w:val="32"/>
          <w:szCs w:val="32"/>
          <w:highlight w:val="none"/>
        </w:rPr>
        <w:t>人，专任教师</w:t>
      </w:r>
      <w:r>
        <w:rPr>
          <w:rFonts w:ascii="仿宋_GB2312" w:eastAsia="仿宋_GB2312" w:cs="仿宋_GB2312"/>
          <w:color w:val="auto"/>
          <w:sz w:val="32"/>
          <w:szCs w:val="32"/>
          <w:highlight w:val="none"/>
        </w:rPr>
        <w:t>348</w:t>
      </w:r>
      <w:r>
        <w:rPr>
          <w:rFonts w:hint="eastAsia" w:ascii="仿宋_GB2312" w:eastAsia="仿宋_GB2312" w:cs="仿宋_GB2312"/>
          <w:color w:val="auto"/>
          <w:sz w:val="32"/>
          <w:szCs w:val="32"/>
          <w:highlight w:val="none"/>
        </w:rPr>
        <w:t>人。其中，具有高级职称的教师</w:t>
      </w:r>
      <w:r>
        <w:rPr>
          <w:rFonts w:ascii="仿宋_GB2312" w:eastAsia="仿宋_GB2312" w:cs="仿宋_GB2312"/>
          <w:color w:val="auto"/>
          <w:sz w:val="32"/>
          <w:szCs w:val="32"/>
          <w:highlight w:val="none"/>
        </w:rPr>
        <w:t>50</w:t>
      </w:r>
      <w:r>
        <w:rPr>
          <w:rFonts w:hint="eastAsia" w:ascii="仿宋_GB2312" w:eastAsia="仿宋_GB2312" w:cs="仿宋_GB2312"/>
          <w:color w:val="auto"/>
          <w:sz w:val="32"/>
          <w:szCs w:val="32"/>
          <w:highlight w:val="none"/>
        </w:rPr>
        <w:t>人，硕士学历教师</w:t>
      </w: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人，区级以上的骨干教师</w:t>
      </w:r>
      <w:r>
        <w:rPr>
          <w:rFonts w:ascii="仿宋_GB2312" w:eastAsia="仿宋_GB2312" w:cs="仿宋_GB2312"/>
          <w:color w:val="auto"/>
          <w:sz w:val="32"/>
          <w:szCs w:val="32"/>
          <w:highlight w:val="none"/>
        </w:rPr>
        <w:t>90</w:t>
      </w:r>
      <w:r>
        <w:rPr>
          <w:rFonts w:hint="eastAsia" w:ascii="仿宋_GB2312" w:eastAsia="仿宋_GB2312" w:cs="仿宋_GB2312"/>
          <w:color w:val="auto"/>
          <w:sz w:val="32"/>
          <w:szCs w:val="32"/>
          <w:highlight w:val="none"/>
        </w:rPr>
        <w:t>人。</w:t>
      </w:r>
    </w:p>
    <w:p>
      <w:pPr>
        <w:spacing w:line="56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学校依托北京师范大学百年积淀和丰厚资源，确立“文化兴校、质量立命、人本齐家、科研助教、创新驱动”五大发展战略，践行“授人以渔”的办学理念，努力培养身心健康、有担当、有品位的一代新人，使学校成为一座让生命尽情绽放的智慧殿堂！欢迎有志气、基础好、能吃苦、肯钻研的您加入我们的队伍，与我们共创美好明天。</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lang w:eastAsia="zh-CN"/>
        </w:rPr>
        <w:t>根据学校发展需要，</w:t>
      </w:r>
      <w:r>
        <w:rPr>
          <w:rFonts w:hint="eastAsia" w:ascii="仿宋_GB2312" w:eastAsia="仿宋_GB2312" w:cs="仿宋_GB2312"/>
          <w:color w:val="auto"/>
          <w:sz w:val="32"/>
          <w:szCs w:val="32"/>
          <w:highlight w:val="none"/>
        </w:rPr>
        <w:t>经</w:t>
      </w:r>
      <w:r>
        <w:rPr>
          <w:rFonts w:hint="eastAsia" w:ascii="仿宋_GB2312" w:eastAsia="仿宋_GB2312" w:cs="仿宋_GB2312"/>
          <w:color w:val="auto"/>
          <w:sz w:val="32"/>
          <w:szCs w:val="32"/>
          <w:highlight w:val="none"/>
          <w:lang w:eastAsia="zh-CN"/>
        </w:rPr>
        <w:t>研究决定面向</w:t>
      </w:r>
      <w:r>
        <w:rPr>
          <w:rFonts w:hint="eastAsia" w:ascii="仿宋_GB2312" w:eastAsia="仿宋_GB2312" w:cs="仿宋_GB2312"/>
          <w:color w:val="auto"/>
          <w:sz w:val="32"/>
          <w:szCs w:val="32"/>
          <w:highlight w:val="none"/>
        </w:rPr>
        <w:t>浙江省范围内生源的2</w:t>
      </w:r>
      <w:r>
        <w:rPr>
          <w:rFonts w:ascii="仿宋_GB2312" w:eastAsia="仿宋_GB2312" w:cs="仿宋_GB2312"/>
          <w:color w:val="auto"/>
          <w:sz w:val="32"/>
          <w:szCs w:val="32"/>
          <w:highlight w:val="none"/>
        </w:rPr>
        <w:t>020</w:t>
      </w:r>
      <w:r>
        <w:rPr>
          <w:rFonts w:hint="eastAsia" w:ascii="仿宋_GB2312" w:eastAsia="仿宋_GB2312" w:cs="仿宋_GB2312"/>
          <w:color w:val="auto"/>
          <w:sz w:val="32"/>
          <w:szCs w:val="32"/>
          <w:highlight w:val="none"/>
        </w:rPr>
        <w:t>届全日制普通高校师范类和非师范类应届毕业生</w:t>
      </w:r>
      <w:r>
        <w:rPr>
          <w:rFonts w:hint="eastAsia" w:ascii="仿宋_GB2312" w:eastAsia="仿宋_GB2312" w:cs="仿宋_GB2312"/>
          <w:color w:val="auto"/>
          <w:sz w:val="32"/>
          <w:szCs w:val="32"/>
          <w:highlight w:val="none"/>
          <w:lang w:eastAsia="zh-CN"/>
        </w:rPr>
        <w:t>招聘事业编制教师</w:t>
      </w:r>
      <w:r>
        <w:rPr>
          <w:rFonts w:hint="eastAsia" w:ascii="仿宋_GB2312" w:eastAsia="仿宋_GB2312" w:cs="仿宋_GB2312"/>
          <w:color w:val="auto"/>
          <w:sz w:val="32"/>
          <w:szCs w:val="32"/>
          <w:highlight w:val="none"/>
          <w:lang w:val="en-US" w:eastAsia="zh-CN"/>
        </w:rPr>
        <w:t>10名</w:t>
      </w:r>
      <w:r>
        <w:rPr>
          <w:rFonts w:hint="eastAsia" w:ascii="仿宋" w:hAnsi="仿宋" w:eastAsia="仿宋" w:cs="仿宋"/>
          <w:color w:val="auto"/>
          <w:sz w:val="32"/>
          <w:szCs w:val="32"/>
          <w:highlight w:val="none"/>
        </w:rPr>
        <w:t>，现</w:t>
      </w:r>
      <w:r>
        <w:rPr>
          <w:rFonts w:hint="eastAsia" w:ascii="仿宋" w:hAnsi="仿宋" w:eastAsia="仿宋" w:cs="仿宋"/>
          <w:color w:val="auto"/>
          <w:sz w:val="32"/>
          <w:szCs w:val="32"/>
          <w:highlight w:val="none"/>
          <w:lang w:eastAsia="zh-CN"/>
        </w:rPr>
        <w:t>将</w:t>
      </w:r>
      <w:r>
        <w:rPr>
          <w:rFonts w:hint="eastAsia" w:ascii="仿宋" w:hAnsi="仿宋" w:eastAsia="仿宋" w:cs="仿宋"/>
          <w:color w:val="auto"/>
          <w:sz w:val="32"/>
          <w:szCs w:val="32"/>
          <w:highlight w:val="none"/>
        </w:rPr>
        <w:t>有关事项公告如下：</w:t>
      </w:r>
    </w:p>
    <w:p>
      <w:pPr>
        <w:pStyle w:val="8"/>
        <w:widowControl/>
        <w:numPr>
          <w:ilvl w:val="0"/>
          <w:numId w:val="1"/>
        </w:numPr>
        <w:spacing w:line="560" w:lineRule="exact"/>
        <w:ind w:firstLineChars="0"/>
        <w:jc w:val="left"/>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招聘计划</w:t>
      </w:r>
    </w:p>
    <w:tbl>
      <w:tblPr>
        <w:tblStyle w:val="7"/>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3969"/>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2681" w:type="dxa"/>
          </w:tcPr>
          <w:p>
            <w:pPr>
              <w:widowControl/>
              <w:spacing w:line="560" w:lineRule="exact"/>
              <w:jc w:val="center"/>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招考学科</w:t>
            </w:r>
          </w:p>
        </w:tc>
        <w:tc>
          <w:tcPr>
            <w:tcW w:w="3969" w:type="dxa"/>
          </w:tcPr>
          <w:p>
            <w:pPr>
              <w:widowControl/>
              <w:spacing w:line="560" w:lineRule="exact"/>
              <w:jc w:val="center"/>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岗位人数</w:t>
            </w:r>
          </w:p>
        </w:tc>
        <w:tc>
          <w:tcPr>
            <w:tcW w:w="2170" w:type="dxa"/>
          </w:tcPr>
          <w:p>
            <w:pPr>
              <w:widowControl/>
              <w:spacing w:line="560" w:lineRule="exact"/>
              <w:jc w:val="center"/>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合计人数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2681" w:type="dxa"/>
          </w:tcPr>
          <w:p>
            <w:pPr>
              <w:widowControl/>
              <w:spacing w:line="560" w:lineRule="exact"/>
              <w:jc w:val="center"/>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小学语文</w:t>
            </w:r>
          </w:p>
        </w:tc>
        <w:tc>
          <w:tcPr>
            <w:tcW w:w="3969" w:type="dxa"/>
            <w:vAlign w:val="center"/>
          </w:tcPr>
          <w:p>
            <w:pPr>
              <w:widowControl/>
              <w:spacing w:line="560" w:lineRule="exact"/>
              <w:jc w:val="center"/>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9</w:t>
            </w:r>
          </w:p>
        </w:tc>
        <w:tc>
          <w:tcPr>
            <w:tcW w:w="2170" w:type="dxa"/>
            <w:vMerge w:val="restart"/>
            <w:vAlign w:val="center"/>
          </w:tcPr>
          <w:p>
            <w:pPr>
              <w:spacing w:line="560" w:lineRule="exact"/>
              <w:jc w:val="center"/>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2681" w:type="dxa"/>
          </w:tcPr>
          <w:p>
            <w:pPr>
              <w:widowControl/>
              <w:spacing w:line="560" w:lineRule="exact"/>
              <w:jc w:val="center"/>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小学体育</w:t>
            </w:r>
          </w:p>
        </w:tc>
        <w:tc>
          <w:tcPr>
            <w:tcW w:w="3969" w:type="dxa"/>
            <w:vAlign w:val="center"/>
          </w:tcPr>
          <w:p>
            <w:pPr>
              <w:widowControl/>
              <w:spacing w:line="560" w:lineRule="exact"/>
              <w:jc w:val="center"/>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w:t>
            </w:r>
          </w:p>
        </w:tc>
        <w:tc>
          <w:tcPr>
            <w:tcW w:w="2170" w:type="dxa"/>
            <w:vMerge w:val="continue"/>
            <w:vAlign w:val="center"/>
          </w:tcPr>
          <w:p>
            <w:pPr>
              <w:spacing w:line="560" w:lineRule="exact"/>
              <w:jc w:val="center"/>
              <w:rPr>
                <w:rFonts w:ascii="仿宋" w:hAnsi="仿宋" w:eastAsia="仿宋"/>
                <w:color w:val="auto"/>
                <w:kern w:val="0"/>
                <w:sz w:val="24"/>
                <w:szCs w:val="24"/>
                <w:highlight w:val="none"/>
              </w:rPr>
            </w:pPr>
          </w:p>
        </w:tc>
      </w:tr>
    </w:tbl>
    <w:p>
      <w:pPr>
        <w:autoSpaceDE w:val="0"/>
        <w:autoSpaceDN w:val="0"/>
        <w:adjustRightInd w:val="0"/>
        <w:spacing w:line="560" w:lineRule="exact"/>
        <w:ind w:firstLine="627" w:firstLineChars="196"/>
        <w:jc w:val="left"/>
        <w:rPr>
          <w:rFonts w:ascii="黑体" w:hAnsi="黑体" w:eastAsia="黑体"/>
          <w:color w:val="auto"/>
          <w:sz w:val="32"/>
          <w:szCs w:val="32"/>
          <w:highlight w:val="none"/>
        </w:rPr>
      </w:pPr>
      <w:r>
        <w:rPr>
          <w:rFonts w:hint="eastAsia" w:ascii="黑体" w:hAnsi="黑体" w:eastAsia="黑体" w:cs="黑体"/>
          <w:color w:val="auto"/>
          <w:sz w:val="32"/>
          <w:szCs w:val="32"/>
          <w:highlight w:val="none"/>
        </w:rPr>
        <w:t>二、招聘范围和条件</w:t>
      </w:r>
    </w:p>
    <w:p>
      <w:pPr>
        <w:adjustRightInd w:val="0"/>
        <w:snapToGrid w:val="0"/>
        <w:spacing w:line="480" w:lineRule="exact"/>
        <w:ind w:firstLine="480" w:firstLineChars="150"/>
        <w:rPr>
          <w:rFonts w:ascii="仿宋_GB2312" w:hAnsi="仿宋" w:eastAsia="仿宋_GB2312"/>
          <w:color w:val="auto"/>
          <w:sz w:val="28"/>
          <w:szCs w:val="28"/>
          <w:highlight w:val="none"/>
        </w:rPr>
      </w:pPr>
      <w:r>
        <w:rPr>
          <w:rFonts w:hint="eastAsia" w:ascii="仿宋_GB2312" w:eastAsia="仿宋_GB2312" w:cs="仿宋_GB2312"/>
          <w:color w:val="auto"/>
          <w:sz w:val="32"/>
          <w:szCs w:val="32"/>
          <w:highlight w:val="none"/>
        </w:rPr>
        <w:t>本次招聘面向浙江省范围内生源的2</w:t>
      </w:r>
      <w:r>
        <w:rPr>
          <w:rFonts w:ascii="仿宋_GB2312" w:eastAsia="仿宋_GB2312" w:cs="仿宋_GB2312"/>
          <w:color w:val="auto"/>
          <w:sz w:val="32"/>
          <w:szCs w:val="32"/>
          <w:highlight w:val="none"/>
        </w:rPr>
        <w:t>020</w:t>
      </w:r>
      <w:r>
        <w:rPr>
          <w:rFonts w:hint="eastAsia" w:ascii="仿宋_GB2312" w:eastAsia="仿宋_GB2312" w:cs="仿宋_GB2312"/>
          <w:color w:val="auto"/>
          <w:sz w:val="32"/>
          <w:szCs w:val="32"/>
          <w:highlight w:val="none"/>
        </w:rPr>
        <w:t>届全日制普通高校师范类和非师范类应届毕业生（具有教育局留学服务中心出具的2020年毕业的境外学历、学位认证书的视同）。具体资格条件如下：</w:t>
      </w:r>
      <w:r>
        <w:rPr>
          <w:rFonts w:ascii="仿宋_GB2312" w:eastAsia="仿宋_GB2312"/>
          <w:color w:val="auto"/>
          <w:sz w:val="32"/>
          <w:szCs w:val="32"/>
          <w:highlight w:val="none"/>
        </w:rPr>
        <w:t xml:space="preserve"> </w:t>
      </w:r>
    </w:p>
    <w:p>
      <w:pPr>
        <w:spacing w:line="560" w:lineRule="exact"/>
        <w:ind w:firstLine="643" w:firstLineChars="200"/>
        <w:rPr>
          <w:rFonts w:ascii="楷体_GB2312" w:eastAsia="楷体_GB2312"/>
          <w:b/>
          <w:bCs/>
          <w:color w:val="auto"/>
          <w:sz w:val="32"/>
          <w:szCs w:val="32"/>
          <w:highlight w:val="none"/>
        </w:rPr>
      </w:pPr>
      <w:r>
        <w:rPr>
          <w:rFonts w:hint="eastAsia" w:ascii="楷体_GB2312" w:eastAsia="楷体_GB2312" w:cs="楷体_GB2312"/>
          <w:b/>
          <w:bCs/>
          <w:color w:val="auto"/>
          <w:sz w:val="32"/>
          <w:szCs w:val="32"/>
          <w:highlight w:val="none"/>
        </w:rPr>
        <w:t>（一）基本条件</w:t>
      </w:r>
    </w:p>
    <w:p>
      <w:pPr>
        <w:autoSpaceDE w:val="0"/>
        <w:autoSpaceDN w:val="0"/>
        <w:adjustRightInd w:val="0"/>
        <w:spacing w:line="560" w:lineRule="exact"/>
        <w:ind w:firstLine="640" w:firstLineChars="200"/>
        <w:jc w:val="left"/>
        <w:rPr>
          <w:rFonts w:ascii="仿宋_GB2312" w:eastAsia="仿宋_GB2312"/>
          <w:color w:val="auto"/>
          <w:sz w:val="32"/>
          <w:szCs w:val="32"/>
          <w:highlight w:val="none"/>
        </w:rPr>
      </w:pP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热爱教育事业，对学生有爱心；</w:t>
      </w:r>
    </w:p>
    <w:p>
      <w:pPr>
        <w:autoSpaceDE w:val="0"/>
        <w:autoSpaceDN w:val="0"/>
        <w:adjustRightInd w:val="0"/>
        <w:spacing w:line="560" w:lineRule="exact"/>
        <w:ind w:firstLine="640" w:firstLineChars="200"/>
        <w:jc w:val="left"/>
        <w:rPr>
          <w:rFonts w:ascii="仿宋_GB2312" w:eastAsia="仿宋_GB2312"/>
          <w:color w:val="auto"/>
          <w:sz w:val="32"/>
          <w:szCs w:val="32"/>
          <w:highlight w:val="none"/>
        </w:rPr>
      </w:pP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遵纪守法、具有与履行招聘岗位职责相适应的政治思想、职业道德、业务知识水平、教育教学能力；</w:t>
      </w:r>
    </w:p>
    <w:p>
      <w:pPr>
        <w:autoSpaceDE w:val="0"/>
        <w:autoSpaceDN w:val="0"/>
        <w:adjustRightInd w:val="0"/>
        <w:spacing w:line="560" w:lineRule="exact"/>
        <w:ind w:firstLine="640" w:firstLineChars="200"/>
        <w:jc w:val="left"/>
        <w:rPr>
          <w:rFonts w:ascii="仿宋_GB2312" w:eastAsia="仿宋_GB2312"/>
          <w:color w:val="auto"/>
          <w:sz w:val="32"/>
          <w:szCs w:val="32"/>
          <w:highlight w:val="none"/>
        </w:rPr>
      </w:pP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身体健康，具有良好的心理素养。</w:t>
      </w:r>
    </w:p>
    <w:p>
      <w:pPr>
        <w:tabs>
          <w:tab w:val="left" w:pos="180"/>
        </w:tabs>
        <w:spacing w:line="560" w:lineRule="exact"/>
        <w:ind w:left="-4" w:leftChars="-2" w:firstLine="643" w:firstLineChars="200"/>
        <w:rPr>
          <w:rFonts w:ascii="楷体_GB2312" w:eastAsia="楷体_GB2312" w:cs="楷体_GB2312"/>
          <w:b/>
          <w:bCs/>
          <w:color w:val="auto"/>
          <w:sz w:val="32"/>
          <w:szCs w:val="32"/>
          <w:highlight w:val="none"/>
        </w:rPr>
      </w:pPr>
      <w:r>
        <w:rPr>
          <w:rFonts w:hint="eastAsia" w:ascii="楷体_GB2312" w:eastAsia="楷体_GB2312" w:cs="楷体_GB2312"/>
          <w:b/>
          <w:bCs/>
          <w:color w:val="auto"/>
          <w:sz w:val="32"/>
          <w:szCs w:val="32"/>
          <w:highlight w:val="none"/>
        </w:rPr>
        <w:t>（二）资格条件</w:t>
      </w:r>
    </w:p>
    <w:p>
      <w:pPr>
        <w:tabs>
          <w:tab w:val="left" w:pos="180"/>
        </w:tabs>
        <w:spacing w:line="560" w:lineRule="exact"/>
        <w:ind w:left="-4" w:leftChars="-2"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1.浙江省范围内生源地（</w:t>
      </w:r>
      <w:r>
        <w:rPr>
          <w:rFonts w:hint="eastAsia" w:ascii="仿宋_GB2312" w:hAnsi="宋体" w:eastAsia="仿宋_GB2312"/>
          <w:color w:val="auto"/>
          <w:kern w:val="0"/>
          <w:sz w:val="32"/>
          <w:szCs w:val="32"/>
          <w:highlight w:val="none"/>
        </w:rPr>
        <w:t>生源地是指经高考、被高校录取时户</w:t>
      </w:r>
      <w:r>
        <w:rPr>
          <w:rFonts w:hint="eastAsia" w:ascii="仿宋_GB2312" w:hAnsi="宋体" w:eastAsia="仿宋_GB2312" w:cs="宋体"/>
          <w:color w:val="auto"/>
          <w:kern w:val="0"/>
          <w:sz w:val="32"/>
          <w:szCs w:val="32"/>
          <w:highlight w:val="none"/>
        </w:rPr>
        <w:t>籍</w:t>
      </w:r>
      <w:r>
        <w:rPr>
          <w:rFonts w:hint="eastAsia" w:ascii="仿宋_GB2312" w:hAnsi="宋体" w:eastAsia="仿宋_GB2312"/>
          <w:color w:val="auto"/>
          <w:kern w:val="0"/>
          <w:sz w:val="32"/>
          <w:szCs w:val="32"/>
          <w:highlight w:val="none"/>
        </w:rPr>
        <w:t>所在地</w:t>
      </w:r>
      <w:r>
        <w:rPr>
          <w:rFonts w:hint="eastAsia" w:ascii="仿宋_GB2312" w:eastAsia="仿宋_GB2312" w:cs="仿宋_GB2312"/>
          <w:color w:val="auto"/>
          <w:sz w:val="32"/>
          <w:szCs w:val="32"/>
          <w:highlight w:val="none"/>
        </w:rPr>
        <w:t>）；</w:t>
      </w:r>
    </w:p>
    <w:p>
      <w:pPr>
        <w:autoSpaceDE w:val="0"/>
        <w:autoSpaceDN w:val="0"/>
        <w:adjustRightInd w:val="0"/>
        <w:spacing w:line="560" w:lineRule="exact"/>
        <w:ind w:firstLine="640" w:firstLineChars="200"/>
        <w:jc w:val="left"/>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2</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全日制本科（含）以上学历，</w:t>
      </w:r>
      <w:r>
        <w:rPr>
          <w:rFonts w:hint="eastAsia" w:ascii="仿宋_GB2312" w:eastAsia="仿宋_GB2312" w:cs="仿宋_GB2312"/>
          <w:color w:val="auto"/>
          <w:sz w:val="32"/>
          <w:szCs w:val="32"/>
          <w:highlight w:val="none"/>
        </w:rPr>
        <w:t>学历、学位证书须于</w:t>
      </w:r>
      <w:r>
        <w:rPr>
          <w:rFonts w:ascii="仿宋_GB2312" w:eastAsia="仿宋_GB2312" w:cs="仿宋_GB2312"/>
          <w:color w:val="auto"/>
          <w:sz w:val="32"/>
          <w:szCs w:val="32"/>
          <w:highlight w:val="none"/>
        </w:rPr>
        <w:t>2020</w:t>
      </w:r>
      <w:r>
        <w:rPr>
          <w:rFonts w:hint="eastAsia" w:ascii="仿宋_GB2312" w:eastAsia="仿宋_GB2312" w:cs="仿宋_GB2312"/>
          <w:color w:val="auto"/>
          <w:sz w:val="32"/>
          <w:szCs w:val="32"/>
          <w:highlight w:val="none"/>
        </w:rPr>
        <w:t>年</w:t>
      </w:r>
      <w:r>
        <w:rPr>
          <w:rFonts w:ascii="仿宋_GB2312" w:eastAsia="仿宋_GB2312" w:cs="仿宋_GB2312"/>
          <w:color w:val="auto"/>
          <w:sz w:val="32"/>
          <w:szCs w:val="32"/>
          <w:highlight w:val="none"/>
        </w:rPr>
        <w:t>7</w:t>
      </w:r>
      <w:r>
        <w:rPr>
          <w:rFonts w:hint="eastAsia" w:ascii="仿宋_GB2312" w:eastAsia="仿宋_GB2312" w:cs="仿宋_GB2312"/>
          <w:color w:val="auto"/>
          <w:sz w:val="32"/>
          <w:szCs w:val="32"/>
          <w:highlight w:val="none"/>
        </w:rPr>
        <w:t>月</w:t>
      </w:r>
      <w:r>
        <w:rPr>
          <w:rFonts w:ascii="仿宋_GB2312" w:eastAsia="仿宋_GB2312" w:cs="仿宋_GB2312"/>
          <w:color w:val="auto"/>
          <w:sz w:val="32"/>
          <w:szCs w:val="32"/>
          <w:highlight w:val="none"/>
        </w:rPr>
        <w:t>31</w:t>
      </w:r>
      <w:r>
        <w:rPr>
          <w:rFonts w:hint="eastAsia" w:ascii="仿宋_GB2312" w:eastAsia="仿宋_GB2312" w:cs="仿宋_GB2312"/>
          <w:color w:val="auto"/>
          <w:sz w:val="32"/>
          <w:szCs w:val="32"/>
          <w:highlight w:val="none"/>
        </w:rPr>
        <w:t>日前取得</w:t>
      </w:r>
      <w:r>
        <w:rPr>
          <w:rFonts w:hint="eastAsia" w:ascii="仿宋_GB2312" w:eastAsia="仿宋_GB2312" w:cs="仿宋_GB2312"/>
          <w:color w:val="auto"/>
          <w:sz w:val="32"/>
          <w:szCs w:val="32"/>
          <w:highlight w:val="none"/>
          <w:lang w:eastAsia="zh-CN"/>
        </w:rPr>
        <w:t>；</w:t>
      </w:r>
    </w:p>
    <w:p>
      <w:pPr>
        <w:autoSpaceDE w:val="0"/>
        <w:autoSpaceDN w:val="0"/>
        <w:adjustRightInd w:val="0"/>
        <w:spacing w:line="560" w:lineRule="exact"/>
        <w:ind w:firstLine="640" w:firstLineChars="200"/>
        <w:jc w:val="left"/>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rPr>
        <w:t>年龄要求在</w:t>
      </w:r>
      <w:r>
        <w:rPr>
          <w:rFonts w:ascii="仿宋_GB2312" w:eastAsia="仿宋_GB2312" w:cs="仿宋_GB2312"/>
          <w:color w:val="auto"/>
          <w:sz w:val="32"/>
          <w:szCs w:val="32"/>
          <w:highlight w:val="none"/>
        </w:rPr>
        <w:t>30</w:t>
      </w:r>
      <w:r>
        <w:rPr>
          <w:rFonts w:hint="eastAsia" w:ascii="仿宋_GB2312" w:eastAsia="仿宋_GB2312" w:cs="仿宋_GB2312"/>
          <w:color w:val="auto"/>
          <w:sz w:val="32"/>
          <w:szCs w:val="32"/>
          <w:highlight w:val="none"/>
        </w:rPr>
        <w:t>周岁以下（</w:t>
      </w:r>
      <w:r>
        <w:rPr>
          <w:rFonts w:ascii="仿宋_GB2312" w:eastAsia="仿宋_GB2312" w:cs="仿宋_GB2312"/>
          <w:color w:val="auto"/>
          <w:sz w:val="32"/>
          <w:szCs w:val="32"/>
          <w:highlight w:val="none"/>
        </w:rPr>
        <w:t>19</w:t>
      </w:r>
      <w:r>
        <w:rPr>
          <w:rFonts w:hint="eastAsia" w:ascii="仿宋_GB2312" w:eastAsia="仿宋_GB2312" w:cs="仿宋_GB2312"/>
          <w:color w:val="auto"/>
          <w:sz w:val="32"/>
          <w:szCs w:val="32"/>
          <w:highlight w:val="none"/>
        </w:rPr>
        <w:t>90年5月8日及以后出生）</w:t>
      </w:r>
      <w:r>
        <w:rPr>
          <w:rFonts w:hint="eastAsia" w:ascii="仿宋_GB2312" w:eastAsia="仿宋_GB2312" w:cs="仿宋_GB2312"/>
          <w:color w:val="auto"/>
          <w:sz w:val="32"/>
          <w:szCs w:val="32"/>
          <w:highlight w:val="none"/>
          <w:lang w:eastAsia="zh-CN"/>
        </w:rPr>
        <w:t>；</w:t>
      </w:r>
    </w:p>
    <w:p>
      <w:pPr>
        <w:autoSpaceDE w:val="0"/>
        <w:autoSpaceDN w:val="0"/>
        <w:adjustRightInd w:val="0"/>
        <w:spacing w:line="560" w:lineRule="exact"/>
        <w:ind w:firstLine="640" w:firstLineChars="200"/>
        <w:jc w:val="left"/>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en-US" w:eastAsia="zh-CN"/>
        </w:rPr>
        <w:t>4.专业对口；</w:t>
      </w:r>
    </w:p>
    <w:p>
      <w:pPr>
        <w:autoSpaceDE w:val="0"/>
        <w:autoSpaceDN w:val="0"/>
        <w:adjustRightInd w:val="0"/>
        <w:spacing w:line="56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val="en-US" w:eastAsia="zh-CN"/>
        </w:rPr>
        <w:t>5.具有与应聘学科及学段相符的</w:t>
      </w:r>
      <w:r>
        <w:rPr>
          <w:rFonts w:hint="eastAsia" w:ascii="仿宋_GB2312" w:eastAsia="仿宋_GB2312" w:cs="仿宋_GB2312"/>
          <w:color w:val="auto"/>
          <w:sz w:val="32"/>
          <w:szCs w:val="32"/>
          <w:highlight w:val="none"/>
        </w:rPr>
        <w:t>教师资格考试合格证明</w:t>
      </w:r>
      <w:r>
        <w:rPr>
          <w:rFonts w:hint="eastAsia" w:ascii="仿宋_GB2312" w:eastAsia="仿宋_GB2312" w:cs="仿宋_GB2312"/>
          <w:color w:val="auto"/>
          <w:sz w:val="32"/>
          <w:szCs w:val="32"/>
          <w:highlight w:val="none"/>
          <w:lang w:eastAsia="zh-CN"/>
        </w:rPr>
        <w:t>或与申报学科所需相符的普通话等级水平证明。</w:t>
      </w:r>
    </w:p>
    <w:p>
      <w:pPr>
        <w:autoSpaceDE w:val="0"/>
        <w:autoSpaceDN w:val="0"/>
        <w:adjustRightInd w:val="0"/>
        <w:spacing w:line="560" w:lineRule="exact"/>
        <w:ind w:firstLine="640" w:firstLineChars="200"/>
        <w:jc w:val="left"/>
        <w:rPr>
          <w:rFonts w:ascii="黑体" w:hAnsi="黑体" w:eastAsia="黑体"/>
          <w:color w:val="auto"/>
          <w:sz w:val="32"/>
          <w:szCs w:val="32"/>
          <w:highlight w:val="none"/>
        </w:rPr>
      </w:pPr>
      <w:r>
        <w:rPr>
          <w:rFonts w:hint="eastAsia" w:ascii="黑体" w:hAnsi="黑体" w:eastAsia="黑体" w:cs="黑体"/>
          <w:color w:val="auto"/>
          <w:sz w:val="32"/>
          <w:szCs w:val="32"/>
          <w:highlight w:val="none"/>
        </w:rPr>
        <w:t>三、招聘程序和办法</w:t>
      </w:r>
    </w:p>
    <w:p>
      <w:pPr>
        <w:tabs>
          <w:tab w:val="left" w:pos="180"/>
        </w:tabs>
        <w:spacing w:line="560" w:lineRule="exact"/>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招聘工作贯彻公开、平等、竞争、择优的原则，坚持德才兼备的用人标准，采取报名、考试、体检、</w:t>
      </w:r>
      <w:r>
        <w:rPr>
          <w:rFonts w:hint="eastAsia" w:ascii="仿宋_GB2312" w:eastAsia="仿宋_GB2312" w:cs="仿宋_GB2312"/>
          <w:color w:val="auto"/>
          <w:sz w:val="32"/>
          <w:szCs w:val="32"/>
          <w:highlight w:val="none"/>
          <w:lang w:eastAsia="zh-CN"/>
        </w:rPr>
        <w:t>考察</w:t>
      </w:r>
      <w:r>
        <w:rPr>
          <w:rFonts w:hint="eastAsia" w:ascii="仿宋_GB2312" w:eastAsia="仿宋_GB2312" w:cs="仿宋_GB2312"/>
          <w:color w:val="auto"/>
          <w:sz w:val="32"/>
          <w:szCs w:val="32"/>
          <w:highlight w:val="none"/>
        </w:rPr>
        <w:t>、公示、聘用等程序进行。</w:t>
      </w:r>
    </w:p>
    <w:p>
      <w:pPr>
        <w:autoSpaceDE w:val="0"/>
        <w:autoSpaceDN w:val="0"/>
        <w:adjustRightInd w:val="0"/>
        <w:spacing w:line="560" w:lineRule="exact"/>
        <w:ind w:firstLine="643" w:firstLineChars="200"/>
        <w:jc w:val="left"/>
        <w:rPr>
          <w:rFonts w:ascii="楷体_GB2312" w:eastAsia="楷体_GB2312"/>
          <w:b/>
          <w:bCs/>
          <w:color w:val="auto"/>
          <w:sz w:val="32"/>
          <w:szCs w:val="32"/>
          <w:highlight w:val="none"/>
        </w:rPr>
      </w:pPr>
      <w:r>
        <w:rPr>
          <w:rFonts w:hint="eastAsia" w:ascii="楷体_GB2312" w:eastAsia="楷体_GB2312" w:cs="楷体_GB2312"/>
          <w:b/>
          <w:bCs/>
          <w:color w:val="auto"/>
          <w:sz w:val="32"/>
          <w:szCs w:val="32"/>
          <w:highlight w:val="none"/>
        </w:rPr>
        <w:t>（一）报名</w:t>
      </w:r>
    </w:p>
    <w:p>
      <w:pPr>
        <w:tabs>
          <w:tab w:val="left" w:pos="180"/>
        </w:tabs>
        <w:spacing w:line="560" w:lineRule="exact"/>
        <w:ind w:firstLine="640" w:firstLineChars="200"/>
        <w:rPr>
          <w:rFonts w:ascii="仿宋_GB2312" w:eastAsia="仿宋_GB2312"/>
          <w:color w:val="auto"/>
          <w:sz w:val="32"/>
          <w:szCs w:val="32"/>
          <w:highlight w:val="none"/>
        </w:rPr>
      </w:pP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报名时间：</w:t>
      </w: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20年5月8日，上午8</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3</w:t>
      </w:r>
      <w:r>
        <w:rPr>
          <w:rFonts w:ascii="仿宋_GB2312" w:eastAsia="仿宋_GB2312" w:cs="仿宋_GB2312"/>
          <w:color w:val="auto"/>
          <w:sz w:val="32"/>
          <w:szCs w:val="32"/>
          <w:highlight w:val="none"/>
        </w:rPr>
        <w:t>0</w:t>
      </w:r>
      <w:r>
        <w:rPr>
          <w:rFonts w:ascii="仿宋_GB2312" w:eastAsia="仿宋_GB2312"/>
          <w:color w:val="auto"/>
          <w:sz w:val="32"/>
          <w:szCs w:val="32"/>
          <w:highlight w:val="none"/>
        </w:rPr>
        <w:t>—</w:t>
      </w:r>
      <w:r>
        <w:rPr>
          <w:rFonts w:ascii="仿宋_GB2312" w:eastAsia="仿宋_GB2312" w:cs="仿宋_GB2312"/>
          <w:color w:val="auto"/>
          <w:sz w:val="32"/>
          <w:szCs w:val="32"/>
          <w:highlight w:val="none"/>
        </w:rPr>
        <w:t>11:</w:t>
      </w:r>
      <w:r>
        <w:rPr>
          <w:rFonts w:hint="eastAsia" w:ascii="仿宋_GB2312" w:eastAsia="仿宋_GB2312" w:cs="仿宋_GB2312"/>
          <w:color w:val="auto"/>
          <w:sz w:val="32"/>
          <w:szCs w:val="32"/>
          <w:highlight w:val="none"/>
        </w:rPr>
        <w:t>3</w:t>
      </w:r>
      <w:r>
        <w:rPr>
          <w:rFonts w:ascii="仿宋_GB2312" w:eastAsia="仿宋_GB2312" w:cs="仿宋_GB2312"/>
          <w:color w:val="auto"/>
          <w:sz w:val="32"/>
          <w:szCs w:val="32"/>
          <w:highlight w:val="none"/>
        </w:rPr>
        <w:t>0</w:t>
      </w:r>
      <w:r>
        <w:rPr>
          <w:rFonts w:hint="eastAsia" w:ascii="仿宋_GB2312" w:eastAsia="仿宋_GB2312" w:cs="仿宋_GB2312"/>
          <w:color w:val="auto"/>
          <w:sz w:val="32"/>
          <w:szCs w:val="32"/>
          <w:highlight w:val="none"/>
        </w:rPr>
        <w:t>；</w:t>
      </w:r>
    </w:p>
    <w:p>
      <w:pPr>
        <w:tabs>
          <w:tab w:val="left" w:pos="180"/>
        </w:tabs>
        <w:spacing w:line="560" w:lineRule="exact"/>
        <w:ind w:firstLine="640" w:firstLineChars="200"/>
        <w:rPr>
          <w:rFonts w:ascii="仿宋" w:hAnsi="仿宋" w:eastAsia="仿宋" w:cs="仿宋"/>
          <w:color w:val="auto"/>
          <w:sz w:val="32"/>
          <w:szCs w:val="32"/>
          <w:highlight w:val="none"/>
        </w:rPr>
      </w:pP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报名地点：</w:t>
      </w:r>
      <w:r>
        <w:rPr>
          <w:rFonts w:hint="eastAsia" w:ascii="仿宋" w:hAnsi="仿宋" w:eastAsia="仿宋" w:cs="仿宋"/>
          <w:color w:val="auto"/>
          <w:sz w:val="32"/>
          <w:szCs w:val="32"/>
          <w:highlight w:val="none"/>
        </w:rPr>
        <w:t>北京师范大学南湖附属学校凌公塘路校区（南湖区凌公塘路</w:t>
      </w:r>
      <w:r>
        <w:rPr>
          <w:rFonts w:ascii="仿宋" w:hAnsi="仿宋" w:eastAsia="仿宋" w:cs="仿宋"/>
          <w:color w:val="auto"/>
          <w:sz w:val="32"/>
          <w:szCs w:val="32"/>
          <w:highlight w:val="none"/>
        </w:rPr>
        <w:t>2176</w:t>
      </w:r>
      <w:r>
        <w:rPr>
          <w:rFonts w:hint="eastAsia" w:ascii="仿宋" w:hAnsi="仿宋" w:eastAsia="仿宋" w:cs="仿宋"/>
          <w:color w:val="auto"/>
          <w:sz w:val="32"/>
          <w:szCs w:val="32"/>
          <w:highlight w:val="none"/>
        </w:rPr>
        <w:t>号）；</w:t>
      </w:r>
    </w:p>
    <w:p>
      <w:pPr>
        <w:tabs>
          <w:tab w:val="left" w:pos="180"/>
        </w:tabs>
        <w:spacing w:line="560" w:lineRule="exact"/>
        <w:ind w:firstLine="640" w:firstLineChars="200"/>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报名材料：</w:t>
      </w:r>
    </w:p>
    <w:p>
      <w:pPr>
        <w:tabs>
          <w:tab w:val="left" w:pos="180"/>
        </w:tabs>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（1）报名表一份</w:t>
      </w:r>
      <w:r>
        <w:rPr>
          <w:rFonts w:hint="eastAsia" w:ascii="仿宋_GB2312" w:eastAsia="仿宋_GB2312" w:cs="仿宋_GB2312"/>
          <w:color w:val="auto"/>
          <w:sz w:val="32"/>
          <w:szCs w:val="32"/>
          <w:highlight w:val="none"/>
          <w:lang w:eastAsia="zh-CN"/>
        </w:rPr>
        <w:t>（见附件）</w:t>
      </w:r>
      <w:r>
        <w:rPr>
          <w:rFonts w:hint="eastAsia" w:ascii="仿宋_GB2312" w:eastAsia="仿宋_GB2312" w:cs="仿宋_GB2312"/>
          <w:color w:val="auto"/>
          <w:sz w:val="32"/>
          <w:szCs w:val="32"/>
          <w:highlight w:val="none"/>
        </w:rPr>
        <w:t>；</w:t>
      </w:r>
    </w:p>
    <w:p>
      <w:pPr>
        <w:tabs>
          <w:tab w:val="left" w:pos="180"/>
        </w:tabs>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（2）身份证、毕业学校出具的就业推荐书</w:t>
      </w:r>
      <w:r>
        <w:rPr>
          <w:rFonts w:hint="eastAsia" w:ascii="仿宋_GB2312" w:eastAsia="仿宋_GB2312" w:cs="仿宋_GB2312"/>
          <w:color w:val="auto"/>
          <w:sz w:val="32"/>
          <w:szCs w:val="32"/>
          <w:highlight w:val="none"/>
          <w:lang w:eastAsia="zh-CN"/>
        </w:rPr>
        <w:t>和</w:t>
      </w:r>
      <w:r>
        <w:rPr>
          <w:rFonts w:hint="eastAsia" w:ascii="仿宋_GB2312" w:eastAsia="仿宋_GB2312" w:cs="仿宋_GB2312"/>
          <w:color w:val="auto"/>
          <w:sz w:val="32"/>
          <w:szCs w:val="32"/>
          <w:highlight w:val="none"/>
          <w:lang w:val="en-US" w:eastAsia="zh-CN"/>
        </w:rPr>
        <w:t>2020届</w:t>
      </w:r>
      <w:r>
        <w:rPr>
          <w:rFonts w:hint="eastAsia" w:ascii="仿宋_GB2312" w:eastAsia="仿宋_GB2312" w:cs="仿宋_GB2312"/>
          <w:color w:val="auto"/>
          <w:sz w:val="32"/>
          <w:szCs w:val="32"/>
          <w:highlight w:val="none"/>
        </w:rPr>
        <w:t>毕业生证明（含生源地）</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教师资格考试合格证明</w:t>
      </w:r>
      <w:r>
        <w:rPr>
          <w:rFonts w:hint="eastAsia" w:ascii="仿宋_GB2312" w:eastAsia="仿宋_GB2312" w:cs="仿宋_GB2312"/>
          <w:color w:val="auto"/>
          <w:sz w:val="32"/>
          <w:szCs w:val="32"/>
          <w:highlight w:val="none"/>
          <w:lang w:eastAsia="zh-CN"/>
        </w:rPr>
        <w:t>或</w:t>
      </w:r>
      <w:r>
        <w:rPr>
          <w:rFonts w:hint="eastAsia" w:ascii="仿宋_GB2312" w:eastAsia="仿宋_GB2312" w:cs="仿宋_GB2312"/>
          <w:color w:val="auto"/>
          <w:sz w:val="32"/>
          <w:szCs w:val="32"/>
          <w:highlight w:val="none"/>
        </w:rPr>
        <w:t>普通话证书；</w:t>
      </w:r>
    </w:p>
    <w:p>
      <w:pPr>
        <w:tabs>
          <w:tab w:val="left" w:pos="180"/>
        </w:tabs>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（3）近期免冠一寸证件照片2张；</w:t>
      </w:r>
      <w:r>
        <w:rPr>
          <w:rFonts w:hint="eastAsia" w:ascii="仿宋_GB2312" w:eastAsia="仿宋_GB2312" w:cs="仿宋_GB2312"/>
          <w:color w:val="auto"/>
          <w:sz w:val="32"/>
          <w:szCs w:val="32"/>
          <w:highlight w:val="none"/>
        </w:rPr>
        <w:tab/>
      </w:r>
    </w:p>
    <w:p>
      <w:pPr>
        <w:tabs>
          <w:tab w:val="left" w:pos="180"/>
        </w:tabs>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（4）个人简历；</w:t>
      </w:r>
    </w:p>
    <w:p>
      <w:pPr>
        <w:tabs>
          <w:tab w:val="left" w:pos="180"/>
        </w:tabs>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（5）亲笔手写自荐书；</w:t>
      </w:r>
    </w:p>
    <w:p>
      <w:pPr>
        <w:tabs>
          <w:tab w:val="left" w:pos="180"/>
        </w:tabs>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（6）主要荣誉证书、获奖证书等材料；</w:t>
      </w:r>
    </w:p>
    <w:p>
      <w:pPr>
        <w:tabs>
          <w:tab w:val="left" w:pos="180"/>
        </w:tabs>
        <w:spacing w:line="56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以上所需证件均须提供原件与复印件，每人限报一个岗位，同一岗位符合报考条件人数不得低于招聘计划人数的3倍，不到规定比例，核减或取消招聘计划。应聘人员不得报考与招聘单位有《浙江省事业单位公开招聘人员暂行办法》第三十条所列回避情形的岗位。</w:t>
      </w:r>
    </w:p>
    <w:p>
      <w:pPr>
        <w:spacing w:line="560" w:lineRule="exact"/>
        <w:ind w:firstLine="321" w:firstLineChars="100"/>
        <w:rPr>
          <w:rFonts w:ascii="楷体" w:hAnsi="楷体" w:eastAsia="楷体"/>
          <w:b/>
          <w:bCs/>
          <w:color w:val="auto"/>
          <w:sz w:val="32"/>
          <w:szCs w:val="32"/>
          <w:highlight w:val="none"/>
        </w:rPr>
      </w:pPr>
      <w:r>
        <w:rPr>
          <w:rFonts w:hint="eastAsia" w:ascii="楷体" w:hAnsi="楷体" w:eastAsia="楷体" w:cs="楷体"/>
          <w:b/>
          <w:bCs/>
          <w:color w:val="auto"/>
          <w:sz w:val="32"/>
          <w:szCs w:val="32"/>
          <w:highlight w:val="none"/>
        </w:rPr>
        <w:t>（二）考试</w:t>
      </w:r>
    </w:p>
    <w:p>
      <w:pPr>
        <w:widowControl/>
        <w:spacing w:line="560" w:lineRule="exact"/>
        <w:ind w:firstLine="640" w:firstLineChars="200"/>
        <w:rPr>
          <w:rFonts w:ascii="宋体"/>
          <w:color w:val="auto"/>
          <w:kern w:val="0"/>
          <w:sz w:val="32"/>
          <w:szCs w:val="32"/>
          <w:highlight w:val="none"/>
        </w:rPr>
      </w:pPr>
      <w:r>
        <w:rPr>
          <w:rFonts w:hint="eastAsia" w:ascii="仿宋" w:hAnsi="仿宋" w:eastAsia="仿宋" w:cs="仿宋"/>
          <w:color w:val="auto"/>
          <w:sz w:val="32"/>
          <w:szCs w:val="32"/>
          <w:highlight w:val="none"/>
        </w:rPr>
        <w:t>本次公开招聘考试由北京师范大学南湖附属学校组织实施，考试采用笔试、面试和试讲相结合的方式</w:t>
      </w:r>
      <w:r>
        <w:rPr>
          <w:rFonts w:hint="eastAsia" w:ascii="仿宋" w:hAnsi="仿宋" w:eastAsia="仿宋" w:cs="仿宋"/>
          <w:color w:val="auto"/>
          <w:sz w:val="32"/>
          <w:szCs w:val="32"/>
          <w:highlight w:val="none"/>
          <w:lang w:eastAsia="zh-CN"/>
        </w:rPr>
        <w:t>进行。</w:t>
      </w:r>
    </w:p>
    <w:p>
      <w:pPr>
        <w:widowControl/>
        <w:numPr>
          <w:ilvl w:val="0"/>
          <w:numId w:val="2"/>
        </w:numPr>
        <w:spacing w:line="560" w:lineRule="exact"/>
        <w:ind w:firstLine="540"/>
        <w:rPr>
          <w:rFonts w:ascii="宋体"/>
          <w:color w:val="auto"/>
          <w:kern w:val="0"/>
          <w:sz w:val="32"/>
          <w:szCs w:val="32"/>
          <w:highlight w:val="none"/>
        </w:rPr>
      </w:pPr>
      <w:r>
        <w:rPr>
          <w:rFonts w:hint="eastAsia" w:ascii="仿宋" w:hAnsi="仿宋" w:eastAsia="仿宋" w:cs="仿宋"/>
          <w:b/>
          <w:bCs/>
          <w:color w:val="auto"/>
          <w:sz w:val="32"/>
          <w:szCs w:val="32"/>
          <w:highlight w:val="none"/>
        </w:rPr>
        <w:t>笔试</w:t>
      </w:r>
      <w:r>
        <w:rPr>
          <w:rFonts w:hint="eastAsia" w:ascii="仿宋" w:hAnsi="仿宋" w:eastAsia="仿宋" w:cs="仿宋"/>
          <w:color w:val="auto"/>
          <w:sz w:val="32"/>
          <w:szCs w:val="32"/>
          <w:highlight w:val="none"/>
        </w:rPr>
        <w:t>：</w:t>
      </w:r>
    </w:p>
    <w:p>
      <w:pPr>
        <w:widowControl/>
        <w:numPr>
          <w:ilvl w:val="0"/>
          <w:numId w:val="0"/>
        </w:num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（1）</w:t>
      </w:r>
      <w:r>
        <w:rPr>
          <w:rFonts w:hint="eastAsia" w:ascii="仿宋" w:hAnsi="仿宋" w:eastAsia="仿宋" w:cs="仿宋"/>
          <w:color w:val="auto"/>
          <w:sz w:val="32"/>
          <w:szCs w:val="32"/>
          <w:highlight w:val="none"/>
        </w:rPr>
        <w:t>经资格审核符合报名条件者统一参加</w:t>
      </w:r>
      <w:r>
        <w:rPr>
          <w:rFonts w:hint="eastAsia" w:ascii="仿宋" w:hAnsi="仿宋" w:eastAsia="仿宋" w:cs="仿宋"/>
          <w:color w:val="auto"/>
          <w:sz w:val="32"/>
          <w:szCs w:val="32"/>
          <w:highlight w:val="none"/>
          <w:lang w:eastAsia="zh-CN"/>
        </w:rPr>
        <w:t>笔试，</w:t>
      </w:r>
      <w:r>
        <w:rPr>
          <w:rFonts w:hint="eastAsia" w:ascii="仿宋" w:hAnsi="仿宋" w:eastAsia="仿宋" w:cs="仿宋"/>
          <w:color w:val="auto"/>
          <w:sz w:val="32"/>
          <w:szCs w:val="32"/>
          <w:highlight w:val="none"/>
        </w:rPr>
        <w:t>笔试为闭卷形式，满分为</w:t>
      </w:r>
      <w:r>
        <w:rPr>
          <w:rFonts w:ascii="仿宋" w:hAnsi="仿宋" w:eastAsia="仿宋" w:cs="仿宋"/>
          <w:color w:val="auto"/>
          <w:sz w:val="32"/>
          <w:szCs w:val="32"/>
          <w:highlight w:val="none"/>
        </w:rPr>
        <w:t>100</w:t>
      </w:r>
      <w:r>
        <w:rPr>
          <w:rFonts w:hint="eastAsia" w:ascii="仿宋" w:hAnsi="仿宋" w:eastAsia="仿宋" w:cs="仿宋"/>
          <w:color w:val="auto"/>
          <w:sz w:val="32"/>
          <w:szCs w:val="32"/>
          <w:highlight w:val="none"/>
        </w:rPr>
        <w:t>分，合格分为</w:t>
      </w:r>
      <w:r>
        <w:rPr>
          <w:rFonts w:ascii="仿宋" w:hAnsi="仿宋" w:eastAsia="仿宋" w:cs="仿宋"/>
          <w:color w:val="auto"/>
          <w:sz w:val="32"/>
          <w:szCs w:val="32"/>
          <w:highlight w:val="none"/>
        </w:rPr>
        <w:t>60</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rPr>
        <w:t>，主要测试教育教学理论、学科专业知识和教育教学实践能力。</w:t>
      </w:r>
    </w:p>
    <w:p>
      <w:pPr>
        <w:widowControl/>
        <w:numPr>
          <w:ilvl w:val="0"/>
          <w:numId w:val="0"/>
        </w:numPr>
        <w:spacing w:line="560" w:lineRule="exac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笔试定于</w:t>
      </w:r>
      <w:r>
        <w:rPr>
          <w:rFonts w:ascii="仿宋" w:hAnsi="仿宋" w:eastAsia="仿宋" w:cs="仿宋"/>
          <w:color w:val="auto"/>
          <w:sz w:val="32"/>
          <w:szCs w:val="32"/>
          <w:highlight w:val="none"/>
        </w:rPr>
        <w:t>2020</w:t>
      </w:r>
      <w:r>
        <w:rPr>
          <w:rFonts w:hint="eastAsia" w:ascii="仿宋" w:hAnsi="仿宋" w:eastAsia="仿宋" w:cs="仿宋"/>
          <w:color w:val="auto"/>
          <w:sz w:val="32"/>
          <w:szCs w:val="32"/>
          <w:highlight w:val="none"/>
        </w:rPr>
        <w:t>年5月8日下午</w:t>
      </w:r>
      <w:r>
        <w:rPr>
          <w:rFonts w:ascii="仿宋" w:hAnsi="仿宋" w:eastAsia="仿宋" w:cs="仿宋"/>
          <w:color w:val="auto"/>
          <w:sz w:val="32"/>
          <w:szCs w:val="32"/>
          <w:highlight w:val="none"/>
        </w:rPr>
        <w:t>13</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30--15</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00</w:t>
      </w:r>
      <w:r>
        <w:rPr>
          <w:rFonts w:hint="eastAsia" w:ascii="仿宋" w:hAnsi="仿宋" w:eastAsia="仿宋" w:cs="仿宋"/>
          <w:color w:val="auto"/>
          <w:sz w:val="32"/>
          <w:szCs w:val="32"/>
          <w:highlight w:val="none"/>
        </w:rPr>
        <w:t>在北京师范大学南湖附属学校凌公塘路校区进行。</w:t>
      </w:r>
    </w:p>
    <w:p>
      <w:pPr>
        <w:widowControl/>
        <w:numPr>
          <w:ilvl w:val="0"/>
          <w:numId w:val="0"/>
        </w:numPr>
        <w:spacing w:line="560" w:lineRule="exact"/>
        <w:rPr>
          <w:rFonts w:ascii="仿宋" w:hAnsi="仿宋" w:eastAsia="仿宋"/>
          <w:color w:val="auto"/>
          <w:sz w:val="32"/>
          <w:szCs w:val="32"/>
          <w:highlight w:val="none"/>
        </w:rPr>
      </w:pP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笔试成绩不计入综合成绩。</w:t>
      </w:r>
    </w:p>
    <w:p>
      <w:pPr>
        <w:widowControl/>
        <w:spacing w:line="560" w:lineRule="exact"/>
        <w:ind w:firstLine="540"/>
        <w:rPr>
          <w:rFonts w:hint="eastAsia" w:ascii="仿宋" w:hAnsi="仿宋" w:eastAsia="仿宋" w:cs="仿宋"/>
          <w:color w:val="auto"/>
          <w:sz w:val="32"/>
          <w:szCs w:val="32"/>
          <w:highlight w:val="none"/>
        </w:rPr>
      </w:pPr>
      <w:r>
        <w:rPr>
          <w:rFonts w:ascii="仿宋" w:hAnsi="仿宋" w:eastAsia="仿宋" w:cs="仿宋"/>
          <w:b/>
          <w:bCs/>
          <w:color w:val="auto"/>
          <w:sz w:val="32"/>
          <w:szCs w:val="32"/>
          <w:highlight w:val="none"/>
        </w:rPr>
        <w:t>2.</w:t>
      </w:r>
      <w:r>
        <w:rPr>
          <w:rFonts w:hint="eastAsia" w:ascii="仿宋" w:hAnsi="仿宋" w:eastAsia="仿宋" w:cs="仿宋"/>
          <w:b/>
          <w:bCs/>
          <w:color w:val="auto"/>
          <w:sz w:val="32"/>
          <w:szCs w:val="32"/>
          <w:highlight w:val="none"/>
        </w:rPr>
        <w:t>面试</w:t>
      </w:r>
      <w:r>
        <w:rPr>
          <w:rFonts w:hint="eastAsia" w:ascii="仿宋" w:hAnsi="仿宋" w:eastAsia="仿宋" w:cs="仿宋"/>
          <w:color w:val="auto"/>
          <w:sz w:val="32"/>
          <w:szCs w:val="32"/>
          <w:highlight w:val="none"/>
        </w:rPr>
        <w:t>：</w:t>
      </w:r>
    </w:p>
    <w:p>
      <w:pPr>
        <w:widowControl/>
        <w:spacing w:line="560" w:lineRule="exact"/>
        <w:ind w:firstLine="5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根据各岗位招聘计划，</w:t>
      </w:r>
      <w:r>
        <w:rPr>
          <w:rFonts w:hint="eastAsia" w:ascii="仿宋" w:hAnsi="仿宋" w:eastAsia="仿宋" w:cs="仿宋"/>
          <w:color w:val="auto"/>
          <w:sz w:val="32"/>
          <w:szCs w:val="32"/>
          <w:highlight w:val="none"/>
          <w:lang w:eastAsia="zh-CN"/>
        </w:rPr>
        <w:t>在</w:t>
      </w:r>
      <w:r>
        <w:rPr>
          <w:rFonts w:hint="eastAsia" w:ascii="仿宋" w:hAnsi="仿宋" w:eastAsia="仿宋" w:cs="仿宋"/>
          <w:color w:val="auto"/>
          <w:sz w:val="32"/>
          <w:szCs w:val="32"/>
          <w:highlight w:val="none"/>
        </w:rPr>
        <w:t>笔试</w:t>
      </w:r>
      <w:bookmarkStart w:id="0" w:name="_GoBack"/>
      <w:bookmarkEnd w:id="0"/>
      <w:r>
        <w:rPr>
          <w:rFonts w:hint="eastAsia" w:ascii="仿宋" w:hAnsi="仿宋" w:eastAsia="仿宋" w:cs="仿宋"/>
          <w:color w:val="auto"/>
          <w:sz w:val="32"/>
          <w:szCs w:val="32"/>
          <w:highlight w:val="none"/>
        </w:rPr>
        <w:t>成绩</w:t>
      </w:r>
      <w:r>
        <w:rPr>
          <w:rFonts w:hint="eastAsia" w:ascii="仿宋" w:hAnsi="仿宋" w:eastAsia="仿宋" w:cs="仿宋"/>
          <w:color w:val="auto"/>
          <w:sz w:val="32"/>
          <w:szCs w:val="32"/>
          <w:highlight w:val="none"/>
          <w:lang w:eastAsia="zh-CN"/>
        </w:rPr>
        <w:t>合格者中从</w:t>
      </w:r>
      <w:r>
        <w:rPr>
          <w:rFonts w:hint="eastAsia" w:ascii="仿宋" w:hAnsi="仿宋" w:eastAsia="仿宋" w:cs="仿宋"/>
          <w:color w:val="auto"/>
          <w:sz w:val="32"/>
          <w:szCs w:val="32"/>
          <w:highlight w:val="none"/>
        </w:rPr>
        <w:t>高分到低分按招聘计划</w:t>
      </w:r>
      <w:r>
        <w:rPr>
          <w:rFonts w:ascii="仿宋" w:hAnsi="仿宋" w:eastAsia="仿宋" w:cs="仿宋"/>
          <w:color w:val="auto"/>
          <w:sz w:val="32"/>
          <w:szCs w:val="32"/>
          <w:highlight w:val="none"/>
        </w:rPr>
        <w:t>1:5</w:t>
      </w:r>
      <w:r>
        <w:rPr>
          <w:rFonts w:hint="eastAsia" w:ascii="仿宋" w:hAnsi="仿宋" w:eastAsia="仿宋" w:cs="仿宋"/>
          <w:color w:val="auto"/>
          <w:sz w:val="32"/>
          <w:szCs w:val="32"/>
          <w:highlight w:val="none"/>
        </w:rPr>
        <w:t>的比例确定面试对象。</w:t>
      </w:r>
    </w:p>
    <w:p>
      <w:pPr>
        <w:widowControl/>
        <w:spacing w:line="560" w:lineRule="exact"/>
        <w:ind w:firstLine="5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面试为问答式，满分为</w:t>
      </w:r>
      <w:r>
        <w:rPr>
          <w:rFonts w:ascii="仿宋" w:hAnsi="仿宋" w:eastAsia="仿宋" w:cs="仿宋"/>
          <w:color w:val="auto"/>
          <w:sz w:val="32"/>
          <w:szCs w:val="32"/>
          <w:highlight w:val="none"/>
        </w:rPr>
        <w:t>100</w:t>
      </w:r>
      <w:r>
        <w:rPr>
          <w:rFonts w:hint="eastAsia" w:ascii="仿宋" w:hAnsi="仿宋" w:eastAsia="仿宋" w:cs="仿宋"/>
          <w:color w:val="auto"/>
          <w:sz w:val="32"/>
          <w:szCs w:val="32"/>
          <w:highlight w:val="none"/>
        </w:rPr>
        <w:t>分，主要测试应聘者的综合能力，合格分为</w:t>
      </w:r>
      <w:r>
        <w:rPr>
          <w:rFonts w:ascii="仿宋" w:hAnsi="仿宋" w:eastAsia="仿宋" w:cs="仿宋"/>
          <w:color w:val="auto"/>
          <w:sz w:val="32"/>
          <w:szCs w:val="32"/>
          <w:highlight w:val="none"/>
        </w:rPr>
        <w:t>60</w:t>
      </w:r>
      <w:r>
        <w:rPr>
          <w:rFonts w:hint="eastAsia" w:ascii="仿宋" w:hAnsi="仿宋" w:eastAsia="仿宋" w:cs="仿宋"/>
          <w:color w:val="auto"/>
          <w:sz w:val="32"/>
          <w:szCs w:val="32"/>
          <w:highlight w:val="none"/>
        </w:rPr>
        <w:t>分。如有放弃面试的，在笔试成绩合格者中，从高分到低分递补。</w:t>
      </w:r>
    </w:p>
    <w:p>
      <w:pPr>
        <w:widowControl/>
        <w:spacing w:line="560" w:lineRule="exact"/>
        <w:ind w:firstLine="54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）面试时间、地点另行通知。</w:t>
      </w:r>
    </w:p>
    <w:p>
      <w:pPr>
        <w:widowControl/>
        <w:shd w:val="clear" w:color="auto" w:fill="FFFFFF"/>
        <w:spacing w:line="560" w:lineRule="exact"/>
        <w:ind w:firstLine="643" w:firstLineChars="200"/>
        <w:jc w:val="left"/>
        <w:rPr>
          <w:rFonts w:hint="eastAsia" w:ascii="仿宋" w:hAnsi="仿宋" w:eastAsia="仿宋" w:cs="仿宋"/>
          <w:color w:val="auto"/>
          <w:sz w:val="32"/>
          <w:szCs w:val="32"/>
          <w:highlight w:val="none"/>
        </w:rPr>
      </w:pPr>
      <w:r>
        <w:rPr>
          <w:rFonts w:ascii="仿宋" w:hAnsi="仿宋" w:eastAsia="仿宋" w:cs="仿宋"/>
          <w:b/>
          <w:bCs/>
          <w:color w:val="auto"/>
          <w:sz w:val="32"/>
          <w:szCs w:val="32"/>
          <w:highlight w:val="none"/>
        </w:rPr>
        <w:t>3.</w:t>
      </w:r>
      <w:r>
        <w:rPr>
          <w:rFonts w:hint="eastAsia" w:ascii="仿宋" w:hAnsi="仿宋" w:eastAsia="仿宋" w:cs="仿宋"/>
          <w:b/>
          <w:bCs/>
          <w:color w:val="auto"/>
          <w:sz w:val="32"/>
          <w:szCs w:val="32"/>
          <w:highlight w:val="none"/>
        </w:rPr>
        <w:t>试讲</w:t>
      </w:r>
      <w:r>
        <w:rPr>
          <w:rFonts w:hint="eastAsia" w:ascii="仿宋" w:hAnsi="仿宋" w:eastAsia="仿宋" w:cs="仿宋"/>
          <w:color w:val="auto"/>
          <w:sz w:val="32"/>
          <w:szCs w:val="32"/>
          <w:highlight w:val="none"/>
        </w:rPr>
        <w:t>：</w:t>
      </w:r>
    </w:p>
    <w:p>
      <w:pPr>
        <w:widowControl/>
        <w:shd w:val="clear" w:color="auto" w:fill="FFFFFF"/>
        <w:spacing w:line="560" w:lineRule="exact"/>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根据各岗位招聘计划，在面试成绩合格者中，按照面试成绩从高分到低分</w:t>
      </w:r>
      <w:r>
        <w:rPr>
          <w:rFonts w:hint="eastAsia" w:ascii="仿宋" w:hAnsi="仿宋" w:eastAsia="仿宋" w:cs="仿宋"/>
          <w:color w:val="auto"/>
          <w:sz w:val="32"/>
          <w:szCs w:val="32"/>
          <w:highlight w:val="none"/>
          <w:lang w:eastAsia="zh-CN"/>
        </w:rPr>
        <w:t>，按照</w:t>
      </w:r>
      <w:r>
        <w:rPr>
          <w:rFonts w:hint="eastAsia" w:ascii="仿宋" w:hAnsi="仿宋" w:eastAsia="仿宋" w:cs="仿宋"/>
          <w:color w:val="auto"/>
          <w:sz w:val="32"/>
          <w:szCs w:val="32"/>
          <w:highlight w:val="none"/>
        </w:rPr>
        <w:t>招聘计划的</w:t>
      </w:r>
      <w:r>
        <w:rPr>
          <w:rFonts w:ascii="仿宋" w:hAnsi="仿宋" w:eastAsia="仿宋" w:cs="仿宋"/>
          <w:color w:val="auto"/>
          <w:sz w:val="32"/>
          <w:szCs w:val="32"/>
          <w:highlight w:val="none"/>
        </w:rPr>
        <w:t>1:3</w:t>
      </w:r>
      <w:r>
        <w:rPr>
          <w:rFonts w:hint="eastAsia" w:ascii="仿宋" w:hAnsi="仿宋" w:eastAsia="仿宋" w:cs="仿宋"/>
          <w:color w:val="auto"/>
          <w:sz w:val="32"/>
          <w:szCs w:val="32"/>
          <w:highlight w:val="none"/>
        </w:rPr>
        <w:t>比例确定试讲对象。</w:t>
      </w:r>
    </w:p>
    <w:p>
      <w:pPr>
        <w:widowControl/>
        <w:shd w:val="clear" w:color="auto" w:fill="FFFFFF"/>
        <w:spacing w:line="560" w:lineRule="exact"/>
        <w:ind w:firstLine="643"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试讲形式为模拟上课（无学生），满分</w:t>
      </w:r>
      <w:r>
        <w:rPr>
          <w:rFonts w:ascii="仿宋" w:hAnsi="仿宋" w:eastAsia="仿宋" w:cs="仿宋"/>
          <w:color w:val="auto"/>
          <w:sz w:val="32"/>
          <w:szCs w:val="32"/>
          <w:highlight w:val="none"/>
        </w:rPr>
        <w:t>100</w:t>
      </w:r>
      <w:r>
        <w:rPr>
          <w:rFonts w:hint="eastAsia" w:ascii="仿宋" w:hAnsi="仿宋" w:eastAsia="仿宋" w:cs="仿宋"/>
          <w:color w:val="auto"/>
          <w:sz w:val="32"/>
          <w:szCs w:val="32"/>
          <w:highlight w:val="none"/>
        </w:rPr>
        <w:t>分，合格分为</w:t>
      </w:r>
      <w:r>
        <w:rPr>
          <w:rFonts w:ascii="仿宋" w:hAnsi="仿宋" w:eastAsia="仿宋" w:cs="仿宋"/>
          <w:color w:val="auto"/>
          <w:sz w:val="32"/>
          <w:szCs w:val="32"/>
          <w:highlight w:val="none"/>
        </w:rPr>
        <w:t>60</w:t>
      </w:r>
      <w:r>
        <w:rPr>
          <w:rFonts w:hint="eastAsia" w:ascii="仿宋" w:hAnsi="仿宋" w:eastAsia="仿宋" w:cs="仿宋"/>
          <w:color w:val="auto"/>
          <w:sz w:val="32"/>
          <w:szCs w:val="32"/>
          <w:highlight w:val="none"/>
        </w:rPr>
        <w:t>分。</w:t>
      </w:r>
      <w:r>
        <w:rPr>
          <w:rFonts w:hint="eastAsia" w:ascii="仿宋" w:hAnsi="仿宋" w:eastAsia="仿宋" w:cs="仿宋"/>
          <w:color w:val="auto"/>
          <w:sz w:val="32"/>
          <w:szCs w:val="32"/>
          <w:highlight w:val="none"/>
          <w:lang w:eastAsia="zh-CN"/>
        </w:rPr>
        <w:t>试讲</w:t>
      </w:r>
      <w:r>
        <w:rPr>
          <w:rFonts w:hint="eastAsia" w:ascii="仿宋" w:hAnsi="仿宋" w:eastAsia="仿宋" w:cs="仿宋"/>
          <w:color w:val="auto"/>
          <w:sz w:val="32"/>
          <w:szCs w:val="32"/>
          <w:highlight w:val="none"/>
        </w:rPr>
        <w:t>主要测试教学设计能力、掌握教学内容能力、教学组织能力、教学效果以及教师的基本素质等，试讲时间为15分钟。</w:t>
      </w:r>
    </w:p>
    <w:p>
      <w:pPr>
        <w:widowControl/>
        <w:shd w:val="clear" w:color="auto" w:fill="FFFFFF"/>
        <w:spacing w:line="560" w:lineRule="exact"/>
        <w:ind w:firstLine="643"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）试讲时间、地点另行通知。</w:t>
      </w:r>
    </w:p>
    <w:p>
      <w:pPr>
        <w:widowControl/>
        <w:shd w:val="clear" w:color="auto" w:fill="FFFFFF"/>
        <w:spacing w:line="560" w:lineRule="exact"/>
        <w:ind w:firstLine="495"/>
        <w:jc w:val="left"/>
        <w:rPr>
          <w:rFonts w:ascii="楷体" w:hAnsi="楷体" w:eastAsia="楷体"/>
          <w:b/>
          <w:bCs/>
          <w:color w:val="auto"/>
          <w:sz w:val="32"/>
          <w:szCs w:val="32"/>
          <w:highlight w:val="none"/>
        </w:rPr>
      </w:pPr>
      <w:r>
        <w:rPr>
          <w:rFonts w:hint="eastAsia" w:ascii="楷体" w:hAnsi="楷体" w:eastAsia="楷体" w:cs="楷体"/>
          <w:b/>
          <w:bCs/>
          <w:color w:val="auto"/>
          <w:sz w:val="32"/>
          <w:szCs w:val="32"/>
          <w:highlight w:val="none"/>
        </w:rPr>
        <w:t>（三）体检</w:t>
      </w:r>
    </w:p>
    <w:p>
      <w:pPr>
        <w:widowControl/>
        <w:spacing w:line="56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）在</w:t>
      </w:r>
      <w:r>
        <w:rPr>
          <w:rFonts w:hint="eastAsia" w:ascii="仿宋" w:hAnsi="仿宋" w:eastAsia="仿宋" w:cs="仿宋"/>
          <w:color w:val="auto"/>
          <w:sz w:val="32"/>
          <w:szCs w:val="32"/>
          <w:highlight w:val="none"/>
        </w:rPr>
        <w:t>综合成绩（综合成绩</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面试</w:t>
      </w:r>
      <w:r>
        <w:rPr>
          <w:rFonts w:ascii="仿宋" w:hAnsi="仿宋" w:eastAsia="仿宋" w:cs="仿宋"/>
          <w:color w:val="auto"/>
          <w:sz w:val="32"/>
          <w:szCs w:val="32"/>
          <w:highlight w:val="none"/>
        </w:rPr>
        <w:t>40%+</w:t>
      </w:r>
      <w:r>
        <w:rPr>
          <w:rFonts w:hint="eastAsia" w:ascii="仿宋" w:hAnsi="仿宋" w:eastAsia="仿宋" w:cs="仿宋"/>
          <w:color w:val="auto"/>
          <w:sz w:val="32"/>
          <w:szCs w:val="32"/>
          <w:highlight w:val="none"/>
        </w:rPr>
        <w:t>试讲</w:t>
      </w:r>
      <w:r>
        <w:rPr>
          <w:rFonts w:ascii="仿宋" w:hAnsi="仿宋" w:eastAsia="仿宋" w:cs="仿宋"/>
          <w:color w:val="auto"/>
          <w:sz w:val="32"/>
          <w:szCs w:val="32"/>
          <w:highlight w:val="none"/>
        </w:rPr>
        <w:t>60%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60分</w:t>
      </w:r>
      <w:r>
        <w:rPr>
          <w:rFonts w:hint="eastAsia" w:ascii="仿宋" w:hAnsi="仿宋" w:eastAsia="仿宋" w:cs="仿宋"/>
          <w:color w:val="auto"/>
          <w:sz w:val="32"/>
          <w:szCs w:val="32"/>
          <w:highlight w:val="none"/>
        </w:rPr>
        <w:t>以上的人员</w:t>
      </w:r>
      <w:r>
        <w:rPr>
          <w:rFonts w:hint="eastAsia" w:ascii="仿宋" w:hAnsi="仿宋" w:eastAsia="仿宋" w:cs="仿宋"/>
          <w:color w:val="auto"/>
          <w:sz w:val="32"/>
          <w:szCs w:val="32"/>
          <w:highlight w:val="none"/>
          <w:lang w:eastAsia="zh-CN"/>
        </w:rPr>
        <w:t>中，</w:t>
      </w:r>
      <w:r>
        <w:rPr>
          <w:rFonts w:hint="eastAsia" w:ascii="仿宋" w:hAnsi="仿宋" w:eastAsia="仿宋" w:cs="仿宋"/>
          <w:color w:val="auto"/>
          <w:sz w:val="32"/>
          <w:szCs w:val="32"/>
          <w:highlight w:val="none"/>
        </w:rPr>
        <w:t>从</w:t>
      </w:r>
      <w:r>
        <w:rPr>
          <w:rFonts w:hint="eastAsia" w:ascii="仿宋" w:hAnsi="仿宋" w:eastAsia="仿宋" w:cs="仿宋"/>
          <w:color w:val="auto"/>
          <w:sz w:val="32"/>
          <w:szCs w:val="32"/>
          <w:highlight w:val="none"/>
          <w:lang w:eastAsia="zh-CN"/>
        </w:rPr>
        <w:t>综合成绩</w:t>
      </w:r>
      <w:r>
        <w:rPr>
          <w:rFonts w:hint="eastAsia" w:ascii="仿宋" w:hAnsi="仿宋" w:eastAsia="仿宋" w:cs="仿宋"/>
          <w:color w:val="auto"/>
          <w:sz w:val="32"/>
          <w:szCs w:val="32"/>
          <w:highlight w:val="none"/>
        </w:rPr>
        <w:t>高分到低分按照招聘数</w:t>
      </w:r>
      <w:r>
        <w:rPr>
          <w:rFonts w:ascii="仿宋" w:hAnsi="仿宋" w:eastAsia="仿宋" w:cs="仿宋"/>
          <w:color w:val="auto"/>
          <w:sz w:val="32"/>
          <w:szCs w:val="32"/>
          <w:highlight w:val="none"/>
        </w:rPr>
        <w:t>1:1</w:t>
      </w:r>
      <w:r>
        <w:rPr>
          <w:rFonts w:hint="eastAsia" w:ascii="仿宋" w:hAnsi="仿宋" w:eastAsia="仿宋" w:cs="仿宋"/>
          <w:color w:val="auto"/>
          <w:sz w:val="32"/>
          <w:szCs w:val="32"/>
          <w:highlight w:val="none"/>
        </w:rPr>
        <w:t>确定体检考核对象。</w:t>
      </w:r>
    </w:p>
    <w:p>
      <w:pPr>
        <w:widowControl/>
        <w:spacing w:line="56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体检标准按《浙江省教师资格认定体检标准》执行，体检费用个人自理。体检不合格人员不得列入考察对象。应聘人员不按规定的时间、地点参加体检，视作放弃。</w:t>
      </w:r>
    </w:p>
    <w:p>
      <w:pPr>
        <w:widowControl/>
        <w:spacing w:line="560" w:lineRule="exact"/>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体检时间</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地点另行通知。</w:t>
      </w:r>
    </w:p>
    <w:p>
      <w:pPr>
        <w:widowControl/>
        <w:spacing w:line="560" w:lineRule="exact"/>
        <w:ind w:firstLine="643" w:firstLineChars="200"/>
        <w:jc w:val="left"/>
        <w:rPr>
          <w:rFonts w:ascii="楷体" w:hAnsi="楷体" w:eastAsia="楷体"/>
          <w:b/>
          <w:bCs/>
          <w:color w:val="auto"/>
          <w:sz w:val="32"/>
          <w:szCs w:val="32"/>
          <w:highlight w:val="none"/>
        </w:rPr>
      </w:pPr>
      <w:r>
        <w:rPr>
          <w:rFonts w:hint="eastAsia" w:ascii="楷体" w:hAnsi="楷体" w:eastAsia="楷体" w:cs="楷体"/>
          <w:b/>
          <w:bCs/>
          <w:color w:val="auto"/>
          <w:sz w:val="32"/>
          <w:szCs w:val="32"/>
          <w:highlight w:val="none"/>
        </w:rPr>
        <w:t>（四）考察</w:t>
      </w:r>
    </w:p>
    <w:p>
      <w:pPr>
        <w:widowControl/>
        <w:spacing w:line="560" w:lineRule="exact"/>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rPr>
        <w:t>对体检合格者进行考察，考察参照国家公务员局《关于做好公务员录用考察工作的通知》（国公局发〔</w:t>
      </w:r>
      <w:r>
        <w:rPr>
          <w:rFonts w:ascii="仿宋" w:hAnsi="仿宋" w:eastAsia="仿宋" w:cs="仿宋"/>
          <w:color w:val="auto"/>
          <w:sz w:val="32"/>
          <w:szCs w:val="32"/>
          <w:highlight w:val="none"/>
        </w:rPr>
        <w:t>2013</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2</w:t>
      </w:r>
      <w:r>
        <w:rPr>
          <w:rFonts w:hint="eastAsia" w:ascii="仿宋" w:hAnsi="仿宋" w:eastAsia="仿宋" w:cs="仿宋"/>
          <w:color w:val="auto"/>
          <w:sz w:val="32"/>
          <w:szCs w:val="32"/>
          <w:highlight w:val="none"/>
        </w:rPr>
        <w:t>号）执行。主要对体检合格的人员进行资格条件的复核和德、能、勤、绩、廉以及需要回避的情况等考察，考察不合格不予聘用。</w:t>
      </w:r>
    </w:p>
    <w:p>
      <w:pPr>
        <w:widowControl/>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应聘人员在体检、考察环节中出现放弃或不合格的，根据招聘计划在考试综合成绩合格者中，从高分到低分依次递补。</w:t>
      </w:r>
    </w:p>
    <w:p>
      <w:pPr>
        <w:widowControl/>
        <w:spacing w:line="560" w:lineRule="exact"/>
        <w:ind w:firstLine="643" w:firstLineChars="200"/>
        <w:jc w:val="left"/>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（五）公示</w:t>
      </w:r>
    </w:p>
    <w:p>
      <w:pPr>
        <w:spacing w:line="560" w:lineRule="exact"/>
        <w:ind w:firstLine="31680" w:firstLineChars="200"/>
        <w:rPr>
          <w:rFonts w:ascii="仿宋" w:hAnsi="仿宋" w:eastAsia="仿宋"/>
          <w:color w:val="auto"/>
          <w:sz w:val="32"/>
          <w:szCs w:val="32"/>
        </w:rPr>
      </w:pPr>
      <w:r>
        <w:rPr>
          <w:rFonts w:hint="eastAsia" w:ascii="仿宋" w:hAnsi="仿宋" w:eastAsia="仿宋" w:cs="仿宋"/>
          <w:color w:val="auto"/>
          <w:sz w:val="32"/>
          <w:szCs w:val="32"/>
          <w:highlight w:val="none"/>
        </w:rPr>
        <w:t>经体检、考察均合格的人员，确定为拟聘用人员，名单在中共南湖区委南湖区人民政府网站区教育体育局“公告公示”栏中公示7个工作日。</w:t>
      </w:r>
      <w:r>
        <w:rPr>
          <w:rFonts w:hint="eastAsia" w:ascii="仿宋" w:hAnsi="仿宋" w:eastAsia="仿宋" w:cs="仿宋"/>
          <w:color w:val="auto"/>
          <w:sz w:val="32"/>
          <w:szCs w:val="32"/>
        </w:rPr>
        <w:t>公示不通过的，不再递补。公示期满，对拟聘用人员没有异议或反映有问题经查实不影响聘用的，按照相关规定办理聘用手续。对违反公开招聘规定的报考人员，取消其聘用资格。</w:t>
      </w:r>
    </w:p>
    <w:p>
      <w:pPr>
        <w:widowControl/>
        <w:spacing w:line="560" w:lineRule="exact"/>
        <w:ind w:firstLine="643" w:firstLineChars="200"/>
        <w:jc w:val="left"/>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（六）聘用</w:t>
      </w:r>
    </w:p>
    <w:p>
      <w:pPr>
        <w:widowControl/>
        <w:spacing w:line="56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w:t>
      </w:r>
      <w:r>
        <w:rPr>
          <w:rFonts w:hint="eastAsia" w:ascii="仿宋" w:hAnsi="仿宋" w:eastAsia="仿宋" w:cs="仿宋"/>
          <w:color w:val="auto"/>
          <w:sz w:val="32"/>
          <w:szCs w:val="32"/>
          <w:highlight w:val="none"/>
          <w:lang w:eastAsia="zh-CN"/>
        </w:rPr>
        <w:t>聘用</w:t>
      </w:r>
      <w:r>
        <w:rPr>
          <w:rFonts w:hint="eastAsia" w:ascii="仿宋" w:hAnsi="仿宋" w:eastAsia="仿宋" w:cs="仿宋"/>
          <w:color w:val="auto"/>
          <w:sz w:val="32"/>
          <w:szCs w:val="32"/>
          <w:highlight w:val="none"/>
        </w:rPr>
        <w:t>人员，按聘用审批程序办理聘用手续，并与招聘学校签订聘用合同</w:t>
      </w:r>
      <w:r>
        <w:rPr>
          <w:rFonts w:hint="eastAsia" w:ascii="仿宋" w:hAnsi="仿宋" w:eastAsia="仿宋" w:cs="仿宋"/>
          <w:color w:val="auto"/>
          <w:sz w:val="32"/>
          <w:szCs w:val="32"/>
          <w:highlight w:val="none"/>
          <w:lang w:eastAsia="zh-CN"/>
        </w:rPr>
        <w:t>，试用期为</w:t>
      </w:r>
      <w:r>
        <w:rPr>
          <w:rFonts w:hint="eastAsia" w:ascii="仿宋" w:hAnsi="仿宋" w:eastAsia="仿宋" w:cs="仿宋"/>
          <w:color w:val="auto"/>
          <w:sz w:val="32"/>
          <w:szCs w:val="32"/>
          <w:highlight w:val="none"/>
          <w:lang w:val="en-US" w:eastAsia="zh-CN"/>
        </w:rPr>
        <w:t>1年</w:t>
      </w:r>
      <w:r>
        <w:rPr>
          <w:rFonts w:hint="eastAsia" w:ascii="仿宋" w:hAnsi="仿宋" w:eastAsia="仿宋" w:cs="仿宋"/>
          <w:color w:val="auto"/>
          <w:sz w:val="32"/>
          <w:szCs w:val="32"/>
          <w:highlight w:val="none"/>
        </w:rPr>
        <w:t>。如在聘用期内发现应聘人员违反招聘规定的，按有关规定处理。聘用人员如在试用期内未取</w:t>
      </w:r>
      <w:r>
        <w:rPr>
          <w:rFonts w:hint="eastAsia" w:ascii="仿宋" w:hAnsi="仿宋" w:eastAsia="仿宋" w:cs="仿宋"/>
          <w:color w:val="auto"/>
          <w:sz w:val="32"/>
          <w:szCs w:val="32"/>
          <w:highlight w:val="none"/>
          <w:lang w:eastAsia="zh-CN"/>
        </w:rPr>
        <w:t>得应聘学科教师资格证的，依</w:t>
      </w:r>
      <w:r>
        <w:rPr>
          <w:rFonts w:hint="eastAsia" w:ascii="仿宋" w:hAnsi="仿宋" w:eastAsia="仿宋" w:cs="仿宋"/>
          <w:color w:val="auto"/>
          <w:sz w:val="32"/>
          <w:szCs w:val="32"/>
          <w:highlight w:val="none"/>
        </w:rPr>
        <w:t>法解除聘用合同。</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s="黑体"/>
          <w:color w:val="auto"/>
          <w:sz w:val="32"/>
          <w:szCs w:val="32"/>
          <w:highlight w:val="none"/>
        </w:rPr>
        <w:t>四、其他事项</w:t>
      </w:r>
    </w:p>
    <w:p>
      <w:pPr>
        <w:widowControl/>
        <w:spacing w:line="560" w:lineRule="exact"/>
        <w:ind w:firstLine="640" w:firstLineChars="200"/>
        <w:jc w:val="left"/>
        <w:rPr>
          <w:rFonts w:ascii="仿宋" w:hAnsi="仿宋" w:eastAsia="仿宋"/>
          <w:color w:val="auto"/>
          <w:sz w:val="32"/>
          <w:szCs w:val="32"/>
          <w:highlight w:val="none"/>
        </w:rPr>
      </w:pP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rPr>
        <w:t>本次公开招聘工作由北京师范大学南湖附属学校按有关规定组织实施，由南湖区教育体育局、南湖区人力社保局监督。对考试违纪违规行为的认定和处理，按照《事业单位公开招聘违纪违规行为处理规定》（人社部令第</w:t>
      </w:r>
      <w:r>
        <w:rPr>
          <w:rFonts w:ascii="仿宋" w:hAnsi="仿宋" w:eastAsia="仿宋" w:cs="仿宋"/>
          <w:color w:val="auto"/>
          <w:sz w:val="32"/>
          <w:szCs w:val="32"/>
          <w:highlight w:val="none"/>
        </w:rPr>
        <w:t>35</w:t>
      </w:r>
      <w:r>
        <w:rPr>
          <w:rFonts w:hint="eastAsia" w:ascii="仿宋" w:hAnsi="仿宋" w:eastAsia="仿宋" w:cs="仿宋"/>
          <w:color w:val="auto"/>
          <w:sz w:val="32"/>
          <w:szCs w:val="32"/>
          <w:highlight w:val="none"/>
        </w:rPr>
        <w:t>号）执行。</w:t>
      </w:r>
    </w:p>
    <w:p>
      <w:pPr>
        <w:widowControl/>
        <w:spacing w:line="560" w:lineRule="exact"/>
        <w:ind w:firstLine="640" w:firstLineChars="200"/>
        <w:jc w:val="left"/>
        <w:rPr>
          <w:rFonts w:ascii="仿宋" w:hAnsi="仿宋" w:eastAsia="仿宋"/>
          <w:color w:val="auto"/>
          <w:sz w:val="32"/>
          <w:szCs w:val="32"/>
          <w:highlight w:val="none"/>
        </w:rPr>
      </w:pPr>
      <w:r>
        <w:rPr>
          <w:rFonts w:ascii="仿宋" w:hAnsi="仿宋" w:eastAsia="仿宋" w:cs="仿宋"/>
          <w:color w:val="auto"/>
          <w:sz w:val="32"/>
          <w:szCs w:val="32"/>
          <w:highlight w:val="none"/>
        </w:rPr>
        <w:t>2.</w:t>
      </w:r>
      <w:r>
        <w:rPr>
          <w:rFonts w:hint="eastAsia" w:ascii="仿宋" w:hAnsi="仿宋" w:eastAsia="仿宋" w:cs="仿宋"/>
          <w:color w:val="auto"/>
          <w:sz w:val="32"/>
          <w:szCs w:val="32"/>
          <w:highlight w:val="none"/>
        </w:rPr>
        <w:t>在招聘程序中，资格审查贯穿招聘程序全过程，如发现有条件不符、提供材料不实、笔试面试试讲作弊的，将随时取消考生资格。</w:t>
      </w:r>
    </w:p>
    <w:p>
      <w:pPr>
        <w:widowControl/>
        <w:spacing w:line="560" w:lineRule="exact"/>
        <w:ind w:firstLine="640" w:firstLineChars="200"/>
        <w:jc w:val="left"/>
        <w:rPr>
          <w:rFonts w:ascii="仿宋" w:hAnsi="仿宋" w:eastAsia="仿宋"/>
          <w:color w:val="auto"/>
          <w:sz w:val="32"/>
          <w:szCs w:val="32"/>
          <w:highlight w:val="none"/>
        </w:rPr>
      </w:pPr>
      <w:r>
        <w:rPr>
          <w:rFonts w:ascii="仿宋" w:hAnsi="仿宋" w:eastAsia="仿宋" w:cs="仿宋"/>
          <w:color w:val="auto"/>
          <w:sz w:val="32"/>
          <w:szCs w:val="32"/>
          <w:highlight w:val="none"/>
        </w:rPr>
        <w:t xml:space="preserve">3. </w:t>
      </w:r>
      <w:r>
        <w:rPr>
          <w:rFonts w:hint="eastAsia" w:ascii="仿宋" w:hAnsi="仿宋" w:eastAsia="仿宋" w:cs="仿宋"/>
          <w:color w:val="auto"/>
          <w:sz w:val="32"/>
          <w:szCs w:val="32"/>
          <w:highlight w:val="none"/>
        </w:rPr>
        <w:t>本次公开招聘公告及相关信息均在中共南湖区委南湖区人民政府网站（</w:t>
      </w:r>
      <w:r>
        <w:rPr>
          <w:rFonts w:ascii="仿宋" w:hAnsi="仿宋" w:eastAsia="仿宋" w:cs="仿宋"/>
          <w:color w:val="auto"/>
          <w:sz w:val="32"/>
          <w:szCs w:val="32"/>
          <w:highlight w:val="none"/>
        </w:rPr>
        <w:t xml:space="preserve">http://www.nanhu.gov.cn/col/col1571437/index.html </w:t>
      </w:r>
      <w:r>
        <w:rPr>
          <w:rFonts w:hint="eastAsia" w:ascii="仿宋" w:hAnsi="仿宋" w:eastAsia="仿宋" w:cs="仿宋"/>
          <w:color w:val="auto"/>
          <w:sz w:val="32"/>
          <w:szCs w:val="32"/>
          <w:highlight w:val="none"/>
        </w:rPr>
        <w:t>）区教育体育局“公告公示”栏中发布。</w:t>
      </w:r>
    </w:p>
    <w:p>
      <w:pPr>
        <w:widowControl/>
        <w:spacing w:line="560" w:lineRule="exact"/>
        <w:ind w:firstLine="640" w:firstLineChars="200"/>
        <w:jc w:val="left"/>
        <w:rPr>
          <w:rFonts w:ascii="仿宋" w:hAnsi="仿宋" w:eastAsia="仿宋"/>
          <w:color w:val="auto"/>
          <w:sz w:val="32"/>
          <w:szCs w:val="32"/>
          <w:highlight w:val="none"/>
        </w:rPr>
      </w:pPr>
      <w:r>
        <w:rPr>
          <w:rFonts w:ascii="仿宋" w:hAnsi="仿宋" w:eastAsia="仿宋" w:cs="仿宋"/>
          <w:color w:val="auto"/>
          <w:sz w:val="32"/>
          <w:szCs w:val="32"/>
          <w:highlight w:val="none"/>
        </w:rPr>
        <w:t>4.</w:t>
      </w:r>
      <w:r>
        <w:rPr>
          <w:rFonts w:hint="eastAsia" w:ascii="仿宋" w:hAnsi="仿宋" w:eastAsia="仿宋" w:cs="仿宋"/>
          <w:color w:val="auto"/>
          <w:sz w:val="32"/>
          <w:szCs w:val="32"/>
          <w:highlight w:val="none"/>
        </w:rPr>
        <w:t>联系电话及监督电话：</w:t>
      </w:r>
    </w:p>
    <w:p>
      <w:pPr>
        <w:widowControl/>
        <w:spacing w:line="560" w:lineRule="exact"/>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rPr>
        <w:t>联系电话：</w:t>
      </w:r>
      <w:r>
        <w:rPr>
          <w:rFonts w:ascii="仿宋" w:hAnsi="仿宋" w:eastAsia="仿宋" w:cs="仿宋"/>
          <w:color w:val="auto"/>
          <w:sz w:val="32"/>
          <w:szCs w:val="32"/>
          <w:highlight w:val="none"/>
        </w:rPr>
        <w:t>0573-82082555</w:t>
      </w:r>
      <w:r>
        <w:rPr>
          <w:rFonts w:hint="eastAsia" w:ascii="仿宋" w:hAnsi="仿宋" w:eastAsia="仿宋" w:cs="仿宋"/>
          <w:color w:val="auto"/>
          <w:sz w:val="32"/>
          <w:szCs w:val="32"/>
          <w:highlight w:val="none"/>
        </w:rPr>
        <w:t>；监督电话：</w:t>
      </w:r>
      <w:r>
        <w:rPr>
          <w:rFonts w:ascii="仿宋" w:hAnsi="仿宋" w:eastAsia="仿宋" w:cs="仿宋"/>
          <w:color w:val="auto"/>
          <w:sz w:val="32"/>
          <w:szCs w:val="32"/>
          <w:highlight w:val="none"/>
        </w:rPr>
        <w:t>0573-82058801</w:t>
      </w:r>
      <w:r>
        <w:rPr>
          <w:rFonts w:hint="eastAsia" w:ascii="仿宋" w:hAnsi="仿宋" w:eastAsia="仿宋" w:cs="仿宋"/>
          <w:color w:val="auto"/>
          <w:sz w:val="32"/>
          <w:szCs w:val="32"/>
          <w:highlight w:val="none"/>
        </w:rPr>
        <w:t>、</w:t>
      </w:r>
      <w:r>
        <w:rPr>
          <w:rFonts w:ascii="仿宋" w:hAnsi="仿宋" w:eastAsia="仿宋" w:cs="仿宋"/>
          <w:color w:val="auto"/>
          <w:sz w:val="32"/>
          <w:szCs w:val="32"/>
          <w:highlight w:val="none"/>
        </w:rPr>
        <w:t>0573-82058367</w:t>
      </w:r>
      <w:r>
        <w:rPr>
          <w:rFonts w:hint="eastAsia" w:ascii="仿宋" w:hAnsi="仿宋" w:eastAsia="仿宋" w:cs="仿宋"/>
          <w:color w:val="auto"/>
          <w:sz w:val="32"/>
          <w:szCs w:val="32"/>
          <w:highlight w:val="none"/>
        </w:rPr>
        <w:t>。</w:t>
      </w:r>
    </w:p>
    <w:p>
      <w:pPr>
        <w:widowControl/>
        <w:spacing w:line="560" w:lineRule="exact"/>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rPr>
        <w:t>附件</w:t>
      </w:r>
      <w:r>
        <w:rPr>
          <w:rFonts w:ascii="仿宋" w:hAnsi="仿宋" w:eastAsia="仿宋" w:cs="仿宋"/>
          <w:color w:val="auto"/>
          <w:sz w:val="32"/>
          <w:szCs w:val="32"/>
          <w:highlight w:val="none"/>
        </w:rPr>
        <w:t xml:space="preserve">: </w:t>
      </w:r>
      <w:r>
        <w:rPr>
          <w:rFonts w:hint="eastAsia" w:ascii="仿宋" w:hAnsi="仿宋" w:eastAsia="仿宋" w:cs="仿宋"/>
          <w:color w:val="auto"/>
          <w:sz w:val="32"/>
          <w:szCs w:val="32"/>
          <w:highlight w:val="none"/>
        </w:rPr>
        <w:t>北京师范大学南湖附属学校2020年公开招聘教师报名表</w:t>
      </w:r>
    </w:p>
    <w:p>
      <w:pPr>
        <w:widowControl/>
        <w:spacing w:line="560" w:lineRule="exact"/>
        <w:ind w:right="480" w:firstLine="640" w:firstLineChars="200"/>
        <w:jc w:val="right"/>
        <w:rPr>
          <w:rFonts w:ascii="仿宋" w:hAnsi="仿宋" w:eastAsia="仿宋"/>
          <w:color w:val="auto"/>
          <w:sz w:val="32"/>
          <w:szCs w:val="32"/>
          <w:highlight w:val="none"/>
        </w:rPr>
      </w:pPr>
      <w:r>
        <w:rPr>
          <w:rFonts w:hint="eastAsia" w:ascii="仿宋" w:hAnsi="仿宋" w:eastAsia="仿宋" w:cs="仿宋"/>
          <w:color w:val="auto"/>
          <w:sz w:val="32"/>
          <w:szCs w:val="32"/>
          <w:highlight w:val="none"/>
        </w:rPr>
        <w:t>北京师范大学南湖附属学校</w:t>
      </w:r>
    </w:p>
    <w:p>
      <w:pPr>
        <w:widowControl/>
        <w:spacing w:line="560" w:lineRule="exact"/>
        <w:ind w:right="480" w:firstLine="640" w:firstLineChars="200"/>
        <w:jc w:val="center"/>
        <w:rPr>
          <w:rFonts w:ascii="仿宋" w:hAnsi="仿宋" w:eastAsia="仿宋"/>
          <w:color w:val="auto"/>
          <w:sz w:val="32"/>
          <w:szCs w:val="32"/>
          <w:highlight w:val="none"/>
        </w:rPr>
      </w:pPr>
      <w:r>
        <w:rPr>
          <w:rFonts w:ascii="仿宋" w:hAnsi="仿宋" w:eastAsia="仿宋" w:cs="仿宋"/>
          <w:color w:val="auto"/>
          <w:sz w:val="32"/>
          <w:szCs w:val="32"/>
          <w:highlight w:val="none"/>
        </w:rPr>
        <w:t xml:space="preserve">                            2020</w:t>
      </w:r>
      <w:r>
        <w:rPr>
          <w:rFonts w:hint="eastAsia" w:ascii="仿宋" w:hAnsi="仿宋" w:eastAsia="仿宋" w:cs="仿宋"/>
          <w:color w:val="auto"/>
          <w:sz w:val="32"/>
          <w:szCs w:val="32"/>
          <w:highlight w:val="none"/>
        </w:rPr>
        <w:t>年</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4月2</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日</w:t>
      </w:r>
    </w:p>
    <w:p>
      <w:pPr>
        <w:rPr>
          <w:color w:val="auto"/>
          <w:sz w:val="24"/>
          <w:highlight w:val="none"/>
        </w:rPr>
      </w:pPr>
    </w:p>
    <w:p>
      <w:pPr>
        <w:spacing w:after="156" w:afterLines="50"/>
        <w:jc w:val="left"/>
        <w:rPr>
          <w:rFonts w:ascii="仿宋_GB2312" w:hAnsi="宋体" w:eastAsia="仿宋_GB2312" w:cs="仿宋_GB2312"/>
          <w:color w:val="auto"/>
          <w:sz w:val="32"/>
          <w:szCs w:val="32"/>
          <w:highlight w:val="none"/>
        </w:rPr>
      </w:pPr>
      <w:r>
        <w:rPr>
          <w:rFonts w:hint="eastAsia" w:ascii="仿宋_GB2312" w:hAnsi="宋体" w:eastAsia="仿宋_GB2312" w:cs="仿宋_GB2312"/>
          <w:color w:val="auto"/>
          <w:sz w:val="32"/>
          <w:szCs w:val="32"/>
          <w:highlight w:val="none"/>
        </w:rPr>
        <w:t>附件：</w:t>
      </w:r>
    </w:p>
    <w:p>
      <w:pPr>
        <w:spacing w:line="360" w:lineRule="auto"/>
        <w:jc w:val="center"/>
        <w:rPr>
          <w:rFonts w:ascii="仿宋_GB2312" w:hAnsi="宋体" w:eastAsia="仿宋_GB2312"/>
          <w:b/>
          <w:bCs/>
          <w:color w:val="auto"/>
          <w:sz w:val="24"/>
          <w:szCs w:val="32"/>
          <w:highlight w:val="none"/>
        </w:rPr>
      </w:pPr>
      <w:r>
        <w:rPr>
          <w:rFonts w:hint="eastAsia" w:ascii="宋体" w:hAnsi="宋体" w:cs="宋体"/>
          <w:b/>
          <w:bCs/>
          <w:color w:val="auto"/>
          <w:kern w:val="0"/>
          <w:sz w:val="28"/>
          <w:szCs w:val="36"/>
          <w:highlight w:val="none"/>
        </w:rPr>
        <w:t>北京师范大学南湖附属学校2020年公开招聘教师报名表</w:t>
      </w:r>
    </w:p>
    <w:tbl>
      <w:tblPr>
        <w:tblStyle w:val="7"/>
        <w:tblW w:w="9060" w:type="dxa"/>
        <w:tblInd w:w="-106" w:type="dxa"/>
        <w:tblLayout w:type="fixed"/>
        <w:tblCellMar>
          <w:top w:w="0" w:type="dxa"/>
          <w:left w:w="108" w:type="dxa"/>
          <w:bottom w:w="0" w:type="dxa"/>
          <w:right w:w="108" w:type="dxa"/>
        </w:tblCellMar>
      </w:tblPr>
      <w:tblGrid>
        <w:gridCol w:w="1471"/>
        <w:gridCol w:w="893"/>
        <w:gridCol w:w="848"/>
        <w:gridCol w:w="208"/>
        <w:gridCol w:w="602"/>
        <w:gridCol w:w="493"/>
        <w:gridCol w:w="355"/>
        <w:gridCol w:w="473"/>
        <w:gridCol w:w="337"/>
        <w:gridCol w:w="114"/>
        <w:gridCol w:w="250"/>
        <w:gridCol w:w="315"/>
        <w:gridCol w:w="172"/>
        <w:gridCol w:w="281"/>
        <w:gridCol w:w="571"/>
        <w:gridCol w:w="381"/>
        <w:gridCol w:w="464"/>
        <w:gridCol w:w="832"/>
      </w:tblGrid>
      <w:tr>
        <w:tblPrEx>
          <w:tblLayout w:type="fixed"/>
          <w:tblCellMar>
            <w:top w:w="0" w:type="dxa"/>
            <w:left w:w="108" w:type="dxa"/>
            <w:bottom w:w="0" w:type="dxa"/>
            <w:right w:w="108" w:type="dxa"/>
          </w:tblCellMar>
        </w:tblPrEx>
        <w:trPr>
          <w:trHeight w:val="600" w:hRule="atLeast"/>
        </w:trPr>
        <w:tc>
          <w:tcPr>
            <w:tcW w:w="147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姓名</w:t>
            </w:r>
          </w:p>
        </w:tc>
        <w:tc>
          <w:tcPr>
            <w:tcW w:w="89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848" w:type="dxa"/>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性别</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84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民族</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851"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籍贯</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1677" w:type="dxa"/>
            <w:gridSpan w:val="3"/>
            <w:vMerge w:val="restart"/>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贴一寸照片</w:t>
            </w:r>
          </w:p>
        </w:tc>
      </w:tr>
      <w:tr>
        <w:tblPrEx>
          <w:tblLayout w:type="fixed"/>
          <w:tblCellMar>
            <w:top w:w="0" w:type="dxa"/>
            <w:left w:w="108" w:type="dxa"/>
            <w:bottom w:w="0" w:type="dxa"/>
            <w:right w:w="108" w:type="dxa"/>
          </w:tblCellMar>
        </w:tblPrEx>
        <w:trPr>
          <w:trHeight w:val="69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出生年月</w:t>
            </w:r>
          </w:p>
        </w:tc>
        <w:tc>
          <w:tcPr>
            <w:tcW w:w="893"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1658" w:type="dxa"/>
            <w:gridSpan w:val="3"/>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毕业院校</w:t>
            </w:r>
          </w:p>
        </w:tc>
        <w:tc>
          <w:tcPr>
            <w:tcW w:w="3361" w:type="dxa"/>
            <w:gridSpan w:val="10"/>
            <w:tcBorders>
              <w:top w:val="nil"/>
              <w:left w:val="nil"/>
              <w:bottom w:val="nil"/>
              <w:right w:val="single" w:color="auto" w:sz="4" w:space="0"/>
            </w:tcBorders>
            <w:vAlign w:val="center"/>
          </w:tcPr>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1677" w:type="dxa"/>
            <w:gridSpan w:val="3"/>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仿宋_GB2312" w:hAnsi="宋体" w:eastAsia="仿宋_GB2312"/>
                <w:color w:val="auto"/>
                <w:kern w:val="0"/>
                <w:sz w:val="22"/>
                <w:highlight w:val="none"/>
              </w:rPr>
            </w:pPr>
          </w:p>
        </w:tc>
      </w:tr>
      <w:tr>
        <w:tblPrEx>
          <w:tblLayout w:type="fixed"/>
          <w:tblCellMar>
            <w:top w:w="0" w:type="dxa"/>
            <w:left w:w="108" w:type="dxa"/>
            <w:bottom w:w="0" w:type="dxa"/>
            <w:right w:w="108" w:type="dxa"/>
          </w:tblCellMar>
        </w:tblPrEx>
        <w:trPr>
          <w:trHeight w:val="60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毕业时间</w:t>
            </w:r>
          </w:p>
        </w:tc>
        <w:tc>
          <w:tcPr>
            <w:tcW w:w="893" w:type="dxa"/>
            <w:tcBorders>
              <w:top w:val="nil"/>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学历</w:t>
            </w:r>
          </w:p>
        </w:tc>
        <w:tc>
          <w:tcPr>
            <w:tcW w:w="81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84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所学</w:t>
            </w: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专业</w:t>
            </w:r>
          </w:p>
        </w:tc>
        <w:tc>
          <w:tcPr>
            <w:tcW w:w="2513" w:type="dxa"/>
            <w:gridSpan w:val="8"/>
            <w:tcBorders>
              <w:top w:val="single" w:color="auto" w:sz="4" w:space="0"/>
              <w:left w:val="nil"/>
              <w:bottom w:val="single" w:color="auto" w:sz="4" w:space="0"/>
              <w:right w:val="single" w:color="000000" w:sz="4" w:space="0"/>
            </w:tcBorders>
            <w:vAlign w:val="center"/>
          </w:tcPr>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1677" w:type="dxa"/>
            <w:gridSpan w:val="3"/>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仿宋_GB2312" w:hAnsi="宋体" w:eastAsia="仿宋_GB2312"/>
                <w:color w:val="auto"/>
                <w:kern w:val="0"/>
                <w:sz w:val="22"/>
                <w:highlight w:val="none"/>
              </w:rPr>
            </w:pPr>
          </w:p>
        </w:tc>
      </w:tr>
      <w:tr>
        <w:tblPrEx>
          <w:tblLayout w:type="fixed"/>
          <w:tblCellMar>
            <w:top w:w="0" w:type="dxa"/>
            <w:left w:w="108" w:type="dxa"/>
            <w:bottom w:w="0" w:type="dxa"/>
            <w:right w:w="108" w:type="dxa"/>
          </w:tblCellMar>
        </w:tblPrEx>
        <w:trPr>
          <w:trHeight w:val="71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是否师范类</w:t>
            </w:r>
          </w:p>
        </w:tc>
        <w:tc>
          <w:tcPr>
            <w:tcW w:w="893"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1056" w:type="dxa"/>
            <w:gridSpan w:val="2"/>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教师资</w:t>
            </w: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格种类</w:t>
            </w:r>
          </w:p>
        </w:tc>
        <w:tc>
          <w:tcPr>
            <w:tcW w:w="1450" w:type="dxa"/>
            <w:gridSpan w:val="3"/>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1661" w:type="dxa"/>
            <w:gridSpan w:val="6"/>
            <w:tcBorders>
              <w:top w:val="nil"/>
              <w:left w:val="nil"/>
              <w:bottom w:val="single" w:color="auto" w:sz="4" w:space="0"/>
              <w:right w:val="single" w:color="auto" w:sz="4" w:space="0"/>
            </w:tcBorders>
            <w:vAlign w:val="center"/>
          </w:tcPr>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应聘学科</w:t>
            </w:r>
          </w:p>
        </w:tc>
        <w:tc>
          <w:tcPr>
            <w:tcW w:w="2529" w:type="dxa"/>
            <w:gridSpan w:val="5"/>
            <w:tcBorders>
              <w:top w:val="nil"/>
              <w:left w:val="nil"/>
              <w:bottom w:val="single" w:color="auto" w:sz="4" w:space="0"/>
              <w:right w:val="single" w:color="000000" w:sz="4" w:space="0"/>
            </w:tcBorders>
            <w:vAlign w:val="center"/>
          </w:tcPr>
          <w:p>
            <w:pPr>
              <w:widowControl/>
              <w:spacing w:line="340" w:lineRule="exact"/>
              <w:jc w:val="left"/>
              <w:rPr>
                <w:rFonts w:ascii="仿宋_GB2312" w:hAnsi="宋体" w:eastAsia="仿宋_GB2312"/>
                <w:color w:val="auto"/>
                <w:kern w:val="0"/>
                <w:sz w:val="22"/>
                <w:highlight w:val="none"/>
              </w:rPr>
            </w:pPr>
          </w:p>
        </w:tc>
      </w:tr>
      <w:tr>
        <w:tblPrEx>
          <w:tblLayout w:type="fixed"/>
          <w:tblCellMar>
            <w:top w:w="0" w:type="dxa"/>
            <w:left w:w="108" w:type="dxa"/>
            <w:bottom w:w="0" w:type="dxa"/>
            <w:right w:w="108" w:type="dxa"/>
          </w:tblCellMar>
        </w:tblPrEx>
        <w:trPr>
          <w:trHeight w:val="60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身份证号码</w:t>
            </w:r>
          </w:p>
        </w:tc>
        <w:tc>
          <w:tcPr>
            <w:tcW w:w="2551" w:type="dxa"/>
            <w:gridSpan w:val="4"/>
            <w:tcBorders>
              <w:top w:val="single" w:color="auto" w:sz="4" w:space="0"/>
              <w:left w:val="nil"/>
              <w:bottom w:val="single" w:color="auto" w:sz="4" w:space="0"/>
              <w:right w:val="nil"/>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848" w:type="dxa"/>
            <w:gridSpan w:val="2"/>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联系</w:t>
            </w: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手机</w:t>
            </w:r>
          </w:p>
        </w:tc>
        <w:tc>
          <w:tcPr>
            <w:tcW w:w="1661"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4"/>
                <w:szCs w:val="24"/>
                <w:highlight w:val="none"/>
              </w:rPr>
            </w:pPr>
            <w:r>
              <w:rPr>
                <w:rFonts w:hint="eastAsia" w:ascii="仿宋_GB2312" w:hAnsi="宋体" w:eastAsia="仿宋_GB2312" w:cs="仿宋_GB2312"/>
                <w:color w:val="auto"/>
                <w:kern w:val="0"/>
                <w:sz w:val="24"/>
                <w:szCs w:val="24"/>
                <w:highlight w:val="none"/>
              </w:rPr>
              <w:t>　</w:t>
            </w:r>
          </w:p>
        </w:tc>
        <w:tc>
          <w:tcPr>
            <w:tcW w:w="852"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家庭</w:t>
            </w:r>
            <w:r>
              <w:rPr>
                <w:rFonts w:ascii="仿宋_GB2312" w:hAnsi="宋体" w:eastAsia="仿宋_GB2312"/>
                <w:color w:val="auto"/>
                <w:kern w:val="0"/>
                <w:sz w:val="22"/>
                <w:highlight w:val="none"/>
              </w:rPr>
              <w:br w:type="textWrapping"/>
            </w:r>
            <w:r>
              <w:rPr>
                <w:rFonts w:hint="eastAsia" w:ascii="仿宋_GB2312" w:hAnsi="宋体" w:eastAsia="仿宋_GB2312" w:cs="仿宋_GB2312"/>
                <w:color w:val="auto"/>
                <w:kern w:val="0"/>
                <w:sz w:val="22"/>
                <w:highlight w:val="none"/>
              </w:rPr>
              <w:t>电话</w:t>
            </w:r>
          </w:p>
        </w:tc>
        <w:tc>
          <w:tcPr>
            <w:tcW w:w="1677"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r>
      <w:tr>
        <w:tblPrEx>
          <w:tblLayout w:type="fixed"/>
          <w:tblCellMar>
            <w:top w:w="0" w:type="dxa"/>
            <w:left w:w="108" w:type="dxa"/>
            <w:bottom w:w="0" w:type="dxa"/>
            <w:right w:w="108" w:type="dxa"/>
          </w:tblCellMar>
        </w:tblPrEx>
        <w:trPr>
          <w:trHeight w:val="600"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毕业生生源所在地</w:t>
            </w:r>
          </w:p>
        </w:tc>
        <w:tc>
          <w:tcPr>
            <w:tcW w:w="2551" w:type="dxa"/>
            <w:gridSpan w:val="4"/>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olor w:val="auto"/>
                <w:kern w:val="0"/>
                <w:sz w:val="22"/>
                <w:highlight w:val="none"/>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通讯</w:t>
            </w:r>
          </w:p>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地址</w:t>
            </w:r>
          </w:p>
        </w:tc>
        <w:tc>
          <w:tcPr>
            <w:tcW w:w="4190" w:type="dxa"/>
            <w:gridSpan w:val="11"/>
            <w:tcBorders>
              <w:top w:val="single" w:color="auto" w:sz="4" w:space="0"/>
              <w:left w:val="single" w:color="auto" w:sz="4" w:space="0"/>
              <w:bottom w:val="single" w:color="auto" w:sz="4" w:space="0"/>
              <w:right w:val="single" w:color="000000" w:sz="4" w:space="0"/>
            </w:tcBorders>
            <w:vAlign w:val="center"/>
          </w:tcPr>
          <w:p>
            <w:pPr>
              <w:spacing w:line="340" w:lineRule="exact"/>
              <w:jc w:val="center"/>
              <w:rPr>
                <w:rFonts w:ascii="仿宋_GB2312" w:hAnsi="宋体" w:eastAsia="仿宋_GB2312"/>
                <w:color w:val="auto"/>
                <w:kern w:val="0"/>
                <w:sz w:val="22"/>
                <w:highlight w:val="none"/>
              </w:rPr>
            </w:pPr>
          </w:p>
        </w:tc>
      </w:tr>
      <w:tr>
        <w:tblPrEx>
          <w:tblLayout w:type="fixed"/>
          <w:tblCellMar>
            <w:top w:w="0" w:type="dxa"/>
            <w:left w:w="108" w:type="dxa"/>
            <w:bottom w:w="0" w:type="dxa"/>
            <w:right w:w="108" w:type="dxa"/>
          </w:tblCellMar>
        </w:tblPrEx>
        <w:trPr>
          <w:trHeight w:val="693"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家庭成员</w:t>
            </w:r>
          </w:p>
        </w:tc>
        <w:tc>
          <w:tcPr>
            <w:tcW w:w="3872" w:type="dxa"/>
            <w:gridSpan w:val="7"/>
            <w:tcBorders>
              <w:top w:val="single" w:color="auto" w:sz="4" w:space="0"/>
              <w:left w:val="nil"/>
              <w:bottom w:val="single" w:color="auto" w:sz="4" w:space="0"/>
              <w:right w:val="single" w:color="auto" w:sz="4" w:space="0"/>
            </w:tcBorders>
            <w:vAlign w:val="center"/>
          </w:tcPr>
          <w:p>
            <w:pPr>
              <w:spacing w:line="340" w:lineRule="exact"/>
              <w:jc w:val="center"/>
              <w:rPr>
                <w:rFonts w:ascii="仿宋_GB2312" w:hAnsi="宋体" w:eastAsia="仿宋_GB2312"/>
                <w:color w:val="auto"/>
                <w:kern w:val="0"/>
                <w:sz w:val="22"/>
                <w:highlight w:val="none"/>
              </w:rPr>
            </w:pPr>
          </w:p>
          <w:p>
            <w:pPr>
              <w:spacing w:line="340" w:lineRule="exact"/>
              <w:jc w:val="center"/>
              <w:rPr>
                <w:rFonts w:ascii="仿宋_GB2312" w:hAnsi="宋体" w:eastAsia="仿宋_GB2312"/>
                <w:color w:val="auto"/>
                <w:kern w:val="0"/>
                <w:sz w:val="22"/>
                <w:highlight w:val="none"/>
              </w:rPr>
            </w:pPr>
          </w:p>
          <w:p>
            <w:pPr>
              <w:spacing w:line="340" w:lineRule="exact"/>
              <w:jc w:val="center"/>
              <w:rPr>
                <w:rFonts w:ascii="仿宋_GB2312" w:hAnsi="宋体" w:eastAsia="仿宋_GB2312"/>
                <w:color w:val="auto"/>
                <w:kern w:val="0"/>
                <w:sz w:val="22"/>
                <w:highlight w:val="none"/>
              </w:rPr>
            </w:pPr>
          </w:p>
        </w:tc>
        <w:tc>
          <w:tcPr>
            <w:tcW w:w="101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回避</w:t>
            </w:r>
          </w:p>
          <w:p>
            <w:pPr>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关系</w:t>
            </w:r>
          </w:p>
        </w:tc>
        <w:tc>
          <w:tcPr>
            <w:tcW w:w="2701" w:type="dxa"/>
            <w:gridSpan w:val="6"/>
            <w:tcBorders>
              <w:top w:val="single" w:color="auto" w:sz="4" w:space="0"/>
              <w:left w:val="single" w:color="auto" w:sz="4" w:space="0"/>
              <w:bottom w:val="single" w:color="auto" w:sz="4" w:space="0"/>
              <w:right w:val="single" w:color="000000" w:sz="4" w:space="0"/>
            </w:tcBorders>
            <w:vAlign w:val="center"/>
          </w:tcPr>
          <w:p>
            <w:pPr>
              <w:spacing w:line="340" w:lineRule="exact"/>
              <w:jc w:val="center"/>
              <w:rPr>
                <w:rFonts w:ascii="仿宋_GB2312" w:hAnsi="宋体" w:eastAsia="仿宋_GB2312"/>
                <w:color w:val="auto"/>
                <w:kern w:val="0"/>
                <w:sz w:val="22"/>
                <w:highlight w:val="none"/>
              </w:rPr>
            </w:pPr>
          </w:p>
        </w:tc>
      </w:tr>
      <w:tr>
        <w:tblPrEx>
          <w:tblLayout w:type="fixed"/>
          <w:tblCellMar>
            <w:top w:w="0" w:type="dxa"/>
            <w:left w:w="108" w:type="dxa"/>
            <w:bottom w:w="0" w:type="dxa"/>
            <w:right w:w="108" w:type="dxa"/>
          </w:tblCellMar>
        </w:tblPrEx>
        <w:trPr>
          <w:trHeight w:val="1528"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学习简历</w:t>
            </w:r>
            <w:r>
              <w:rPr>
                <w:rFonts w:hint="eastAsia" w:ascii="仿宋_GB2312" w:hAnsi="宋体" w:eastAsia="仿宋_GB2312" w:cs="仿宋_GB2312"/>
                <w:color w:val="auto"/>
                <w:kern w:val="0"/>
                <w:sz w:val="20"/>
                <w:szCs w:val="20"/>
                <w:highlight w:val="none"/>
              </w:rPr>
              <w:t>（应从初中开始填写）</w:t>
            </w:r>
          </w:p>
        </w:tc>
        <w:tc>
          <w:tcPr>
            <w:tcW w:w="7589" w:type="dxa"/>
            <w:gridSpan w:val="17"/>
            <w:tcBorders>
              <w:top w:val="single" w:color="auto" w:sz="4" w:space="0"/>
              <w:left w:val="nil"/>
              <w:bottom w:val="single" w:color="auto" w:sz="4" w:space="0"/>
              <w:right w:val="single" w:color="000000" w:sz="4" w:space="0"/>
            </w:tcBorders>
          </w:tcPr>
          <w:p>
            <w:pPr>
              <w:widowControl/>
              <w:spacing w:line="340" w:lineRule="exact"/>
              <w:rPr>
                <w:rFonts w:ascii="仿宋_GB2312" w:hAnsi="宋体" w:eastAsia="仿宋_GB2312"/>
                <w:color w:val="auto"/>
                <w:kern w:val="0"/>
                <w:sz w:val="22"/>
                <w:highlight w:val="none"/>
              </w:rPr>
            </w:pPr>
            <w:r>
              <w:rPr>
                <w:rFonts w:hint="eastAsia" w:ascii="仿宋_GB2312" w:hAnsi="宋体" w:eastAsia="仿宋_GB2312"/>
                <w:color w:val="auto"/>
                <w:kern w:val="0"/>
                <w:sz w:val="22"/>
                <w:highlight w:val="none"/>
              </w:rPr>
              <w:t>（时间、学校、担任职务）</w:t>
            </w:r>
          </w:p>
        </w:tc>
      </w:tr>
      <w:tr>
        <w:tblPrEx>
          <w:tblLayout w:type="fixed"/>
          <w:tblCellMar>
            <w:top w:w="0" w:type="dxa"/>
            <w:left w:w="108" w:type="dxa"/>
            <w:bottom w:w="0" w:type="dxa"/>
            <w:right w:w="108" w:type="dxa"/>
          </w:tblCellMar>
        </w:tblPrEx>
        <w:trPr>
          <w:trHeight w:val="1423"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获奖情况</w:t>
            </w:r>
          </w:p>
        </w:tc>
        <w:tc>
          <w:tcPr>
            <w:tcW w:w="7589" w:type="dxa"/>
            <w:gridSpan w:val="17"/>
            <w:tcBorders>
              <w:top w:val="single" w:color="auto" w:sz="4" w:space="0"/>
              <w:left w:val="nil"/>
              <w:bottom w:val="single" w:color="auto" w:sz="4" w:space="0"/>
              <w:right w:val="single" w:color="000000" w:sz="4" w:space="0"/>
            </w:tcBorders>
            <w:vAlign w:val="center"/>
          </w:tcPr>
          <w:p>
            <w:pPr>
              <w:widowControl/>
              <w:spacing w:line="340" w:lineRule="exact"/>
              <w:jc w:val="center"/>
              <w:rPr>
                <w:rFonts w:ascii="仿宋_GB2312" w:hAnsi="宋体" w:eastAsia="仿宋_GB2312" w:cs="仿宋_GB2312"/>
                <w:color w:val="auto"/>
                <w:kern w:val="0"/>
                <w:sz w:val="22"/>
                <w:highlight w:val="none"/>
              </w:rPr>
            </w:pPr>
          </w:p>
        </w:tc>
      </w:tr>
      <w:tr>
        <w:tblPrEx>
          <w:tblLayout w:type="fixed"/>
          <w:tblCellMar>
            <w:top w:w="0" w:type="dxa"/>
            <w:left w:w="108" w:type="dxa"/>
            <w:bottom w:w="0" w:type="dxa"/>
            <w:right w:w="108" w:type="dxa"/>
          </w:tblCellMar>
        </w:tblPrEx>
        <w:trPr>
          <w:trHeight w:val="599" w:hRule="atLeast"/>
        </w:trPr>
        <w:tc>
          <w:tcPr>
            <w:tcW w:w="147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个人承诺</w:t>
            </w:r>
          </w:p>
        </w:tc>
        <w:tc>
          <w:tcPr>
            <w:tcW w:w="7589" w:type="dxa"/>
            <w:gridSpan w:val="17"/>
            <w:tcBorders>
              <w:top w:val="single" w:color="auto" w:sz="4" w:space="0"/>
              <w:left w:val="nil"/>
              <w:bottom w:val="single" w:color="auto" w:sz="4" w:space="0"/>
              <w:right w:val="single" w:color="000000" w:sz="4" w:space="0"/>
            </w:tcBorders>
            <w:vAlign w:val="center"/>
          </w:tcPr>
          <w:p>
            <w:pPr>
              <w:widowControl/>
              <w:spacing w:line="340" w:lineRule="exact"/>
              <w:jc w:val="center"/>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本人对上述填写内容的真实性负责，如有隐瞒，愿承担一切责任</w:t>
            </w:r>
          </w:p>
          <w:p>
            <w:pPr>
              <w:widowControl/>
              <w:spacing w:line="340" w:lineRule="exact"/>
              <w:jc w:val="right"/>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应聘人（签名）：               年    月    日</w:t>
            </w:r>
          </w:p>
        </w:tc>
      </w:tr>
      <w:tr>
        <w:tblPrEx>
          <w:tblLayout w:type="fixed"/>
          <w:tblCellMar>
            <w:top w:w="0" w:type="dxa"/>
            <w:left w:w="108" w:type="dxa"/>
            <w:bottom w:w="0" w:type="dxa"/>
            <w:right w:w="108" w:type="dxa"/>
          </w:tblCellMar>
        </w:tblPrEx>
        <w:trPr>
          <w:trHeight w:val="844" w:hRule="atLeast"/>
        </w:trPr>
        <w:tc>
          <w:tcPr>
            <w:tcW w:w="147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招聘单位</w:t>
            </w: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资格初审</w:t>
            </w: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意见</w:t>
            </w:r>
          </w:p>
        </w:tc>
        <w:tc>
          <w:tcPr>
            <w:tcW w:w="3044" w:type="dxa"/>
            <w:gridSpan w:val="5"/>
            <w:vMerge w:val="restart"/>
            <w:tcBorders>
              <w:top w:val="single" w:color="auto" w:sz="4" w:space="0"/>
              <w:left w:val="single" w:color="auto" w:sz="4" w:space="0"/>
              <w:bottom w:val="single" w:color="000000" w:sz="4" w:space="0"/>
              <w:right w:val="nil"/>
            </w:tcBorders>
            <w:vAlign w:val="center"/>
          </w:tcPr>
          <w:p>
            <w:pPr>
              <w:widowControl/>
              <w:spacing w:line="340" w:lineRule="exact"/>
              <w:rPr>
                <w:rFonts w:ascii="仿宋_GB2312" w:hAnsi="宋体" w:eastAsia="仿宋_GB2312"/>
                <w:color w:val="auto"/>
                <w:kern w:val="0"/>
                <w:sz w:val="22"/>
                <w:highlight w:val="none"/>
              </w:rPr>
            </w:pPr>
          </w:p>
          <w:p>
            <w:pPr>
              <w:widowControl/>
              <w:spacing w:line="340" w:lineRule="exact"/>
              <w:jc w:val="center"/>
              <w:rPr>
                <w:rFonts w:ascii="仿宋_GB2312" w:hAnsi="宋体" w:eastAsia="仿宋_GB2312"/>
                <w:color w:val="auto"/>
                <w:kern w:val="0"/>
                <w:sz w:val="22"/>
                <w:highlight w:val="none"/>
              </w:rPr>
            </w:pPr>
          </w:p>
          <w:p>
            <w:pPr>
              <w:widowControl/>
              <w:spacing w:line="340" w:lineRule="exact"/>
              <w:jc w:val="center"/>
              <w:rPr>
                <w:rFonts w:ascii="仿宋_GB2312" w:hAnsi="宋体" w:eastAsia="仿宋_GB2312"/>
                <w:color w:val="auto"/>
                <w:kern w:val="0"/>
                <w:sz w:val="22"/>
                <w:highlight w:val="none"/>
              </w:rPr>
            </w:pP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单位（盖章）</w:t>
            </w: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年月日</w:t>
            </w:r>
          </w:p>
        </w:tc>
        <w:tc>
          <w:tcPr>
            <w:tcW w:w="1279" w:type="dxa"/>
            <w:gridSpan w:val="4"/>
            <w:vMerge w:val="restart"/>
            <w:tcBorders>
              <w:top w:val="single" w:color="auto" w:sz="4" w:space="0"/>
              <w:left w:val="single" w:color="auto" w:sz="4" w:space="0"/>
              <w:bottom w:val="single" w:color="000000" w:sz="4" w:space="0"/>
              <w:right w:val="nil"/>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区教体局</w:t>
            </w:r>
          </w:p>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资格复审</w:t>
            </w:r>
          </w:p>
          <w:p>
            <w:pPr>
              <w:widowControl/>
              <w:spacing w:line="340" w:lineRule="exact"/>
              <w:jc w:val="center"/>
              <w:rPr>
                <w:rFonts w:ascii="仿宋_GB2312" w:hAnsi="宋体" w:eastAsia="仿宋_GB2312" w:cs="仿宋_GB2312"/>
                <w:color w:val="auto"/>
                <w:kern w:val="0"/>
                <w:sz w:val="22"/>
                <w:highlight w:val="none"/>
              </w:rPr>
            </w:pPr>
            <w:r>
              <w:rPr>
                <w:rFonts w:hint="eastAsia" w:ascii="仿宋_GB2312" w:hAnsi="宋体" w:eastAsia="仿宋_GB2312" w:cs="仿宋_GB2312"/>
                <w:color w:val="auto"/>
                <w:kern w:val="0"/>
                <w:sz w:val="22"/>
                <w:highlight w:val="none"/>
              </w:rPr>
              <w:t>意见</w:t>
            </w:r>
          </w:p>
        </w:tc>
        <w:tc>
          <w:tcPr>
            <w:tcW w:w="250" w:type="dxa"/>
            <w:vMerge w:val="restart"/>
            <w:tcBorders>
              <w:top w:val="single" w:color="auto" w:sz="4" w:space="0"/>
              <w:left w:val="single" w:color="auto" w:sz="4" w:space="0"/>
              <w:bottom w:val="single" w:color="000000" w:sz="4" w:space="0"/>
              <w:right w:val="nil"/>
            </w:tcBorders>
            <w:vAlign w:val="center"/>
          </w:tcPr>
          <w:p>
            <w:pPr>
              <w:widowControl/>
              <w:spacing w:line="340" w:lineRule="exact"/>
              <w:rPr>
                <w:rFonts w:ascii="仿宋_GB2312" w:hAnsi="宋体" w:eastAsia="仿宋_GB2312"/>
                <w:color w:val="auto"/>
                <w:kern w:val="0"/>
                <w:sz w:val="22"/>
                <w:highlight w:val="none"/>
              </w:rPr>
            </w:pPr>
          </w:p>
        </w:tc>
        <w:tc>
          <w:tcPr>
            <w:tcW w:w="768" w:type="dxa"/>
            <w:gridSpan w:val="3"/>
            <w:tcBorders>
              <w:top w:val="single" w:color="auto" w:sz="4" w:space="0"/>
              <w:left w:val="nil"/>
              <w:bottom w:val="nil"/>
              <w:right w:val="nil"/>
            </w:tcBorders>
            <w:vAlign w:val="center"/>
          </w:tcPr>
          <w:p>
            <w:pPr>
              <w:widowControl/>
              <w:spacing w:line="340" w:lineRule="exact"/>
              <w:rPr>
                <w:rFonts w:ascii="仿宋_GB2312" w:hAnsi="宋体" w:eastAsia="仿宋_GB2312"/>
                <w:color w:val="auto"/>
                <w:kern w:val="0"/>
                <w:sz w:val="22"/>
                <w:highlight w:val="none"/>
              </w:rPr>
            </w:pPr>
          </w:p>
        </w:tc>
        <w:tc>
          <w:tcPr>
            <w:tcW w:w="952" w:type="dxa"/>
            <w:gridSpan w:val="2"/>
            <w:tcBorders>
              <w:top w:val="single" w:color="auto" w:sz="4" w:space="0"/>
              <w:left w:val="nil"/>
              <w:bottom w:val="nil"/>
              <w:right w:val="nil"/>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464" w:type="dxa"/>
            <w:tcBorders>
              <w:top w:val="single" w:color="auto" w:sz="4" w:space="0"/>
              <w:left w:val="nil"/>
              <w:bottom w:val="nil"/>
              <w:right w:val="nil"/>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832" w:type="dxa"/>
            <w:tcBorders>
              <w:top w:val="single" w:color="auto" w:sz="4" w:space="0"/>
              <w:left w:val="nil"/>
              <w:bottom w:val="nil"/>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r>
      <w:tr>
        <w:tblPrEx>
          <w:tblLayout w:type="fixed"/>
          <w:tblCellMar>
            <w:top w:w="0" w:type="dxa"/>
            <w:left w:w="108" w:type="dxa"/>
            <w:bottom w:w="0" w:type="dxa"/>
            <w:right w:w="108" w:type="dxa"/>
          </w:tblCellMar>
        </w:tblPrEx>
        <w:trPr>
          <w:trHeight w:val="360" w:hRule="atLeast"/>
        </w:trPr>
        <w:tc>
          <w:tcPr>
            <w:tcW w:w="147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宋体" w:eastAsia="仿宋_GB2312"/>
                <w:color w:val="auto"/>
                <w:kern w:val="0"/>
                <w:sz w:val="22"/>
                <w:highlight w:val="none"/>
              </w:rPr>
            </w:pPr>
          </w:p>
        </w:tc>
        <w:tc>
          <w:tcPr>
            <w:tcW w:w="3044" w:type="dxa"/>
            <w:gridSpan w:val="5"/>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olor w:val="auto"/>
                <w:kern w:val="0"/>
                <w:sz w:val="40"/>
                <w:szCs w:val="40"/>
                <w:highlight w:val="none"/>
              </w:rPr>
            </w:pPr>
          </w:p>
        </w:tc>
        <w:tc>
          <w:tcPr>
            <w:tcW w:w="1279" w:type="dxa"/>
            <w:gridSpan w:val="4"/>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olor w:val="auto"/>
                <w:kern w:val="0"/>
                <w:sz w:val="40"/>
                <w:szCs w:val="40"/>
                <w:highlight w:val="none"/>
              </w:rPr>
            </w:pPr>
          </w:p>
        </w:tc>
        <w:tc>
          <w:tcPr>
            <w:tcW w:w="250" w:type="dxa"/>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olor w:val="auto"/>
                <w:kern w:val="0"/>
                <w:sz w:val="40"/>
                <w:szCs w:val="40"/>
                <w:highlight w:val="none"/>
              </w:rPr>
            </w:pPr>
          </w:p>
        </w:tc>
        <w:tc>
          <w:tcPr>
            <w:tcW w:w="1720" w:type="dxa"/>
            <w:gridSpan w:val="5"/>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单位（盖章）</w:t>
            </w:r>
          </w:p>
        </w:tc>
        <w:tc>
          <w:tcPr>
            <w:tcW w:w="464" w:type="dxa"/>
            <w:vAlign w:val="center"/>
          </w:tcPr>
          <w:p>
            <w:pPr>
              <w:widowControl/>
              <w:spacing w:line="340" w:lineRule="exact"/>
              <w:jc w:val="center"/>
              <w:rPr>
                <w:rFonts w:ascii="仿宋_GB2312" w:hAnsi="宋体" w:eastAsia="仿宋_GB2312"/>
                <w:color w:val="auto"/>
                <w:kern w:val="0"/>
                <w:sz w:val="22"/>
                <w:highlight w:val="none"/>
              </w:rPr>
            </w:pPr>
          </w:p>
        </w:tc>
        <w:tc>
          <w:tcPr>
            <w:tcW w:w="832" w:type="dxa"/>
            <w:tcBorders>
              <w:top w:val="nil"/>
              <w:left w:val="nil"/>
              <w:bottom w:val="nil"/>
              <w:right w:val="single" w:color="auto"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r>
      <w:tr>
        <w:tblPrEx>
          <w:tblLayout w:type="fixed"/>
          <w:tblCellMar>
            <w:top w:w="0" w:type="dxa"/>
            <w:left w:w="108" w:type="dxa"/>
            <w:bottom w:w="0" w:type="dxa"/>
            <w:right w:w="108" w:type="dxa"/>
          </w:tblCellMar>
        </w:tblPrEx>
        <w:trPr>
          <w:trHeight w:val="178" w:hRule="atLeast"/>
        </w:trPr>
        <w:tc>
          <w:tcPr>
            <w:tcW w:w="147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宋体" w:eastAsia="仿宋_GB2312"/>
                <w:color w:val="auto"/>
                <w:kern w:val="0"/>
                <w:sz w:val="22"/>
                <w:highlight w:val="none"/>
              </w:rPr>
            </w:pPr>
          </w:p>
        </w:tc>
        <w:tc>
          <w:tcPr>
            <w:tcW w:w="3044" w:type="dxa"/>
            <w:gridSpan w:val="5"/>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olor w:val="auto"/>
                <w:kern w:val="0"/>
                <w:sz w:val="40"/>
                <w:szCs w:val="40"/>
                <w:highlight w:val="none"/>
              </w:rPr>
            </w:pPr>
          </w:p>
        </w:tc>
        <w:tc>
          <w:tcPr>
            <w:tcW w:w="1279" w:type="dxa"/>
            <w:gridSpan w:val="4"/>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olor w:val="auto"/>
                <w:kern w:val="0"/>
                <w:sz w:val="40"/>
                <w:szCs w:val="40"/>
                <w:highlight w:val="none"/>
              </w:rPr>
            </w:pPr>
          </w:p>
        </w:tc>
        <w:tc>
          <w:tcPr>
            <w:tcW w:w="250" w:type="dxa"/>
            <w:vMerge w:val="continue"/>
            <w:tcBorders>
              <w:top w:val="single" w:color="auto" w:sz="4" w:space="0"/>
              <w:left w:val="single" w:color="auto" w:sz="4" w:space="0"/>
              <w:bottom w:val="single" w:color="000000" w:sz="4" w:space="0"/>
              <w:right w:val="nil"/>
            </w:tcBorders>
            <w:vAlign w:val="center"/>
          </w:tcPr>
          <w:p>
            <w:pPr>
              <w:widowControl/>
              <w:spacing w:line="340" w:lineRule="exact"/>
              <w:jc w:val="left"/>
              <w:rPr>
                <w:rFonts w:ascii="仿宋_GB2312" w:hAnsi="宋体" w:eastAsia="仿宋_GB2312"/>
                <w:color w:val="auto"/>
                <w:kern w:val="0"/>
                <w:sz w:val="40"/>
                <w:szCs w:val="40"/>
                <w:highlight w:val="none"/>
              </w:rPr>
            </w:pPr>
          </w:p>
        </w:tc>
        <w:tc>
          <w:tcPr>
            <w:tcW w:w="487" w:type="dxa"/>
            <w:gridSpan w:val="2"/>
            <w:tcBorders>
              <w:top w:val="nil"/>
              <w:left w:val="nil"/>
              <w:bottom w:val="single" w:color="auto" w:sz="4" w:space="0"/>
              <w:right w:val="nil"/>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　</w:t>
            </w:r>
          </w:p>
        </w:tc>
        <w:tc>
          <w:tcPr>
            <w:tcW w:w="2529" w:type="dxa"/>
            <w:gridSpan w:val="5"/>
            <w:tcBorders>
              <w:top w:val="nil"/>
              <w:left w:val="nil"/>
              <w:bottom w:val="single" w:color="auto" w:sz="4" w:space="0"/>
              <w:right w:val="single" w:color="000000" w:sz="4" w:space="0"/>
            </w:tcBorders>
            <w:vAlign w:val="center"/>
          </w:tcPr>
          <w:p>
            <w:pPr>
              <w:widowControl/>
              <w:spacing w:line="340" w:lineRule="exact"/>
              <w:jc w:val="center"/>
              <w:rPr>
                <w:rFonts w:ascii="仿宋_GB2312" w:hAnsi="宋体" w:eastAsia="仿宋_GB2312"/>
                <w:color w:val="auto"/>
                <w:kern w:val="0"/>
                <w:sz w:val="22"/>
                <w:highlight w:val="none"/>
              </w:rPr>
            </w:pPr>
            <w:r>
              <w:rPr>
                <w:rFonts w:hint="eastAsia" w:ascii="仿宋_GB2312" w:hAnsi="宋体" w:eastAsia="仿宋_GB2312" w:cs="仿宋_GB2312"/>
                <w:color w:val="auto"/>
                <w:kern w:val="0"/>
                <w:sz w:val="22"/>
                <w:highlight w:val="none"/>
              </w:rPr>
              <w:t>年月日</w:t>
            </w:r>
          </w:p>
        </w:tc>
      </w:tr>
    </w:tbl>
    <w:p>
      <w:pPr>
        <w:spacing w:line="340" w:lineRule="exact"/>
        <w:ind w:left="315" w:hanging="315" w:hangingChars="150"/>
        <w:rPr>
          <w:rFonts w:ascii="仿宋_GB2312" w:eastAsia="仿宋_GB2312" w:cs="仿宋_GB2312"/>
          <w:color w:val="auto"/>
          <w:highlight w:val="none"/>
        </w:rPr>
      </w:pPr>
      <w:r>
        <w:rPr>
          <w:rFonts w:hint="eastAsia" w:ascii="仿宋_GB2312" w:eastAsia="仿宋_GB2312" w:cs="仿宋_GB2312"/>
          <w:color w:val="auto"/>
          <w:highlight w:val="none"/>
        </w:rPr>
        <w:t>注：考生与招考单位领导人员有直系血亲、三代以内旁系血亲、近姻亲关系者请填写，如没有则在回避关系栏内填写无。因未如实填写将影响考生录用。</w:t>
      </w:r>
    </w:p>
    <w:p>
      <w:pPr>
        <w:spacing w:line="340" w:lineRule="exact"/>
        <w:rPr>
          <w:rFonts w:ascii="仿宋_GB2312" w:eastAsia="仿宋_GB2312"/>
          <w:color w:val="auto"/>
          <w:highlight w:val="none"/>
        </w:rPr>
      </w:pPr>
      <w:r>
        <w:rPr>
          <w:rFonts w:ascii="仿宋_GB2312" w:eastAsia="仿宋_GB2312" w:cs="仿宋_GB2312"/>
          <w:color w:val="auto"/>
          <w:highlight w:val="none"/>
        </w:rPr>
        <w:t>1</w:t>
      </w:r>
      <w:r>
        <w:rPr>
          <w:rFonts w:hint="eastAsia" w:ascii="仿宋_GB2312" w:eastAsia="仿宋_GB2312" w:cs="仿宋_GB2312"/>
          <w:color w:val="auto"/>
          <w:highlight w:val="none"/>
        </w:rPr>
        <w:t>．直系血亲是指是否有祖父母、外祖父母、父母关系。</w:t>
      </w:r>
    </w:p>
    <w:p>
      <w:pPr>
        <w:spacing w:line="340" w:lineRule="exact"/>
        <w:rPr>
          <w:rFonts w:ascii="仿宋_GB2312" w:eastAsia="仿宋_GB2312"/>
          <w:color w:val="auto"/>
          <w:highlight w:val="none"/>
        </w:rPr>
      </w:pPr>
      <w:r>
        <w:rPr>
          <w:rFonts w:ascii="仿宋_GB2312" w:eastAsia="仿宋_GB2312" w:cs="仿宋_GB2312"/>
          <w:color w:val="auto"/>
          <w:highlight w:val="none"/>
        </w:rPr>
        <w:t>2</w:t>
      </w:r>
      <w:r>
        <w:rPr>
          <w:rFonts w:hint="eastAsia" w:ascii="仿宋_GB2312" w:eastAsia="仿宋_GB2312" w:cs="仿宋_GB2312"/>
          <w:color w:val="auto"/>
          <w:highlight w:val="none"/>
        </w:rPr>
        <w:t>．三代以内旁系血亲是指是否有伯叔姑舅姨、兄弟姐妹、堂兄弟姐妹、表兄弟姐妹关系。</w:t>
      </w:r>
    </w:p>
    <w:p>
      <w:pPr>
        <w:spacing w:line="340" w:lineRule="exact"/>
        <w:rPr>
          <w:rFonts w:ascii="仿宋_GB2312" w:eastAsia="仿宋_GB2312"/>
          <w:color w:val="auto"/>
          <w:sz w:val="32"/>
          <w:szCs w:val="32"/>
          <w:highlight w:val="none"/>
        </w:rPr>
      </w:pPr>
      <w:r>
        <w:rPr>
          <w:rFonts w:ascii="仿宋_GB2312" w:eastAsia="仿宋_GB2312" w:cs="仿宋_GB2312"/>
          <w:color w:val="auto"/>
          <w:highlight w:val="none"/>
        </w:rPr>
        <w:t>3</w:t>
      </w:r>
      <w:r>
        <w:rPr>
          <w:rFonts w:hint="eastAsia" w:ascii="仿宋_GB2312" w:eastAsia="仿宋_GB2312" w:cs="仿宋_GB2312"/>
          <w:color w:val="auto"/>
          <w:highlight w:val="none"/>
        </w:rPr>
        <w:t>．近姻亲关系是指是否有配偶的父母、配偶的兄弟姐妹及其配偶、三代以内旁系血亲的配偶关系。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338A"/>
    <w:multiLevelType w:val="multilevel"/>
    <w:tmpl w:val="1D1A338A"/>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EA8E90D"/>
    <w:multiLevelType w:val="singleLevel"/>
    <w:tmpl w:val="5EA8E90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F3"/>
    <w:rsid w:val="000160C9"/>
    <w:rsid w:val="00104C3B"/>
    <w:rsid w:val="00106EA6"/>
    <w:rsid w:val="00106EE9"/>
    <w:rsid w:val="00116A2D"/>
    <w:rsid w:val="0013613E"/>
    <w:rsid w:val="001410F1"/>
    <w:rsid w:val="00190F1B"/>
    <w:rsid w:val="00297F95"/>
    <w:rsid w:val="002B4FF7"/>
    <w:rsid w:val="002D2DE1"/>
    <w:rsid w:val="00300492"/>
    <w:rsid w:val="003811CB"/>
    <w:rsid w:val="003904A3"/>
    <w:rsid w:val="003B37FB"/>
    <w:rsid w:val="003C3999"/>
    <w:rsid w:val="00411874"/>
    <w:rsid w:val="004233CC"/>
    <w:rsid w:val="0046021F"/>
    <w:rsid w:val="00491354"/>
    <w:rsid w:val="004A11AF"/>
    <w:rsid w:val="004D1D25"/>
    <w:rsid w:val="004D4655"/>
    <w:rsid w:val="004F246D"/>
    <w:rsid w:val="005115F3"/>
    <w:rsid w:val="00542666"/>
    <w:rsid w:val="005847D1"/>
    <w:rsid w:val="005B0A5E"/>
    <w:rsid w:val="005B4135"/>
    <w:rsid w:val="005E1EE7"/>
    <w:rsid w:val="005F2F85"/>
    <w:rsid w:val="006116CB"/>
    <w:rsid w:val="0061207D"/>
    <w:rsid w:val="0062434C"/>
    <w:rsid w:val="00627B06"/>
    <w:rsid w:val="006861CA"/>
    <w:rsid w:val="006A20BF"/>
    <w:rsid w:val="006D341A"/>
    <w:rsid w:val="006F1D09"/>
    <w:rsid w:val="007361BD"/>
    <w:rsid w:val="00794494"/>
    <w:rsid w:val="007E2669"/>
    <w:rsid w:val="00804575"/>
    <w:rsid w:val="0086798A"/>
    <w:rsid w:val="008822C3"/>
    <w:rsid w:val="00891457"/>
    <w:rsid w:val="008A2D34"/>
    <w:rsid w:val="008B1384"/>
    <w:rsid w:val="00931B3E"/>
    <w:rsid w:val="00953496"/>
    <w:rsid w:val="0097587D"/>
    <w:rsid w:val="009D16DE"/>
    <w:rsid w:val="009F64F2"/>
    <w:rsid w:val="00A0350A"/>
    <w:rsid w:val="00A339B3"/>
    <w:rsid w:val="00A42A78"/>
    <w:rsid w:val="00A70893"/>
    <w:rsid w:val="00AF5C45"/>
    <w:rsid w:val="00B23EA0"/>
    <w:rsid w:val="00B675E3"/>
    <w:rsid w:val="00BA0191"/>
    <w:rsid w:val="00BA5A2C"/>
    <w:rsid w:val="00BC737B"/>
    <w:rsid w:val="00BE32ED"/>
    <w:rsid w:val="00C16BDE"/>
    <w:rsid w:val="00C62B2A"/>
    <w:rsid w:val="00C91CC0"/>
    <w:rsid w:val="00CE6550"/>
    <w:rsid w:val="00DA47C4"/>
    <w:rsid w:val="00DB3CF1"/>
    <w:rsid w:val="00DB61F6"/>
    <w:rsid w:val="00DD4183"/>
    <w:rsid w:val="00DD6316"/>
    <w:rsid w:val="00E973D3"/>
    <w:rsid w:val="00F06061"/>
    <w:rsid w:val="00F1475C"/>
    <w:rsid w:val="00F555A9"/>
    <w:rsid w:val="00F92434"/>
    <w:rsid w:val="00FA66FF"/>
    <w:rsid w:val="00FD3551"/>
    <w:rsid w:val="00FD5A6A"/>
    <w:rsid w:val="027047F4"/>
    <w:rsid w:val="073C3153"/>
    <w:rsid w:val="110C2AE9"/>
    <w:rsid w:val="19DF1231"/>
    <w:rsid w:val="1FCF1C41"/>
    <w:rsid w:val="2A392FF0"/>
    <w:rsid w:val="30DE2020"/>
    <w:rsid w:val="32A53935"/>
    <w:rsid w:val="34303C16"/>
    <w:rsid w:val="379E3F25"/>
    <w:rsid w:val="400A562C"/>
    <w:rsid w:val="587D23E5"/>
    <w:rsid w:val="63C2595A"/>
    <w:rsid w:val="640A6493"/>
    <w:rsid w:val="75EF67EE"/>
    <w:rsid w:val="767A41D4"/>
    <w:rsid w:val="7BAA22B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List Paragraph"/>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518</Words>
  <Characters>2957</Characters>
  <Lines>24</Lines>
  <Paragraphs>6</Paragraphs>
  <ScaleCrop>false</ScaleCrop>
  <LinksUpToDate>false</LinksUpToDate>
  <CharactersWithSpaces>3469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2020-04-26T05:53:00Z</dcterms:created>
  <dc:creator>belinder1987</dc:creator>
  <cp:lastModifiedBy>admin</cp:lastModifiedBy>
  <dcterms:modified xsi:type="dcterms:W3CDTF">2020-04-29T09:27:01Z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